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E9AE" w14:textId="77777777" w:rsidR="006E1E95" w:rsidRDefault="006E1E95" w:rsidP="00A6288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FEF1CE" wp14:editId="128F26CF">
            <wp:simplePos x="0" y="0"/>
            <wp:positionH relativeFrom="page">
              <wp:posOffset>2673350</wp:posOffset>
            </wp:positionH>
            <wp:positionV relativeFrom="paragraph">
              <wp:posOffset>128270</wp:posOffset>
            </wp:positionV>
            <wp:extent cx="2213610" cy="1439545"/>
            <wp:effectExtent l="0" t="0" r="0" b="8255"/>
            <wp:wrapTopAndBottom/>
            <wp:docPr id="4" name="Image 4" descr="https://www.acng.ch/wp-content/uploads/2019/02/lement_secondaire_gran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cng.ch/wp-content/uploads/2019/02/lement_secondaire_grand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FA024" w14:textId="77777777" w:rsidR="006E1E95" w:rsidRDefault="006E1E95" w:rsidP="00A62883">
      <w:pPr>
        <w:spacing w:after="0" w:line="240" w:lineRule="auto"/>
      </w:pPr>
    </w:p>
    <w:tbl>
      <w:tblPr>
        <w:tblStyle w:val="Grilledutableau"/>
        <w:tblW w:w="10494" w:type="dxa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10494"/>
      </w:tblGrid>
      <w:tr w:rsidR="006E1E95" w:rsidRPr="00A62883" w14:paraId="4560F88E" w14:textId="77777777" w:rsidTr="007D600E">
        <w:trPr>
          <w:trHeight w:val="3633"/>
          <w:jc w:val="center"/>
        </w:trPr>
        <w:tc>
          <w:tcPr>
            <w:tcW w:w="10494" w:type="dxa"/>
            <w:shd w:val="clear" w:color="auto" w:fill="E7E6E6" w:themeFill="background2"/>
          </w:tcPr>
          <w:p w14:paraId="3D5F3615" w14:textId="1E3A068A" w:rsidR="006E1E95" w:rsidRPr="001A6AE0" w:rsidRDefault="007D600E" w:rsidP="007D600E">
            <w:pPr>
              <w:spacing w:before="240" w:after="120"/>
              <w:jc w:val="center"/>
              <w:rPr>
                <w:smallCaps/>
                <w:sz w:val="70"/>
                <w:szCs w:val="70"/>
              </w:rPr>
            </w:pPr>
            <w:r>
              <w:rPr>
                <w:smallCaps/>
                <w:sz w:val="70"/>
                <w:szCs w:val="70"/>
              </w:rPr>
              <w:t>Journée de tests</w:t>
            </w:r>
          </w:p>
          <w:p w14:paraId="08AA9587" w14:textId="77777777" w:rsidR="00A62883" w:rsidRDefault="006E1E95" w:rsidP="00A62883">
            <w:pPr>
              <w:jc w:val="center"/>
              <w:rPr>
                <w:smallCaps/>
                <w:sz w:val="56"/>
                <w:szCs w:val="56"/>
              </w:rPr>
            </w:pPr>
            <w:r w:rsidRPr="00A62883">
              <w:rPr>
                <w:smallCaps/>
                <w:sz w:val="56"/>
                <w:szCs w:val="56"/>
              </w:rPr>
              <w:t>Gymnastique &amp; Danse</w:t>
            </w:r>
          </w:p>
          <w:p w14:paraId="456BEFAF" w14:textId="77777777" w:rsidR="006E1E95" w:rsidRPr="00A62883" w:rsidRDefault="006E1E95" w:rsidP="00A62883">
            <w:pPr>
              <w:jc w:val="center"/>
              <w:rPr>
                <w:smallCaps/>
                <w:sz w:val="56"/>
                <w:szCs w:val="56"/>
              </w:rPr>
            </w:pPr>
            <w:r w:rsidRPr="00A62883">
              <w:rPr>
                <w:smallCaps/>
                <w:sz w:val="56"/>
                <w:szCs w:val="56"/>
              </w:rPr>
              <w:t>Jeunesse et adultes</w:t>
            </w:r>
          </w:p>
          <w:p w14:paraId="58D6D973" w14:textId="7003C512" w:rsidR="006E1E95" w:rsidRPr="00B818CB" w:rsidRDefault="00B818CB" w:rsidP="00A62883">
            <w:pPr>
              <w:spacing w:after="240"/>
              <w:jc w:val="center"/>
              <w:rPr>
                <w:bCs/>
                <w:smallCaps/>
                <w:sz w:val="72"/>
              </w:rPr>
            </w:pPr>
            <w:r w:rsidRPr="00B818CB">
              <w:rPr>
                <w:bCs/>
                <w:smallCaps/>
                <w:sz w:val="72"/>
              </w:rPr>
              <w:t>2025</w:t>
            </w:r>
          </w:p>
        </w:tc>
      </w:tr>
    </w:tbl>
    <w:p w14:paraId="342C2904" w14:textId="77777777" w:rsidR="00556DCF" w:rsidRDefault="00556DCF" w:rsidP="00A62883">
      <w:pPr>
        <w:spacing w:after="0" w:line="240" w:lineRule="auto"/>
      </w:pPr>
    </w:p>
    <w:p w14:paraId="1D2E5898" w14:textId="0ADF7127" w:rsidR="00A62883" w:rsidRPr="00B818CB" w:rsidRDefault="00B818CB" w:rsidP="00A772BB">
      <w:pPr>
        <w:spacing w:after="0" w:line="240" w:lineRule="auto"/>
        <w:jc w:val="center"/>
        <w:rPr>
          <w:b/>
          <w:sz w:val="56"/>
        </w:rPr>
      </w:pPr>
      <w:r>
        <w:rPr>
          <w:b/>
          <w:sz w:val="56"/>
        </w:rPr>
        <w:t>27 avril 2025</w:t>
      </w:r>
    </w:p>
    <w:p w14:paraId="16098667" w14:textId="77777777" w:rsidR="00A62883" w:rsidRPr="00A772BB" w:rsidRDefault="00A62883" w:rsidP="00A772BB">
      <w:pPr>
        <w:spacing w:after="0" w:line="240" w:lineRule="auto"/>
        <w:jc w:val="center"/>
        <w:rPr>
          <w:sz w:val="44"/>
        </w:rPr>
      </w:pPr>
    </w:p>
    <w:p w14:paraId="0675E654" w14:textId="77777777" w:rsidR="00A62883" w:rsidRPr="00A772BB" w:rsidRDefault="00A62883" w:rsidP="00A772BB">
      <w:pPr>
        <w:spacing w:after="0" w:line="240" w:lineRule="auto"/>
        <w:jc w:val="center"/>
        <w:rPr>
          <w:sz w:val="44"/>
        </w:rPr>
      </w:pPr>
      <w:r w:rsidRPr="00A772BB">
        <w:rPr>
          <w:sz w:val="44"/>
        </w:rPr>
        <w:t>Cernier</w:t>
      </w:r>
    </w:p>
    <w:p w14:paraId="7411CDE0" w14:textId="263C6671" w:rsidR="00A62883" w:rsidRPr="001840C4" w:rsidRDefault="00A62883" w:rsidP="00A772BB">
      <w:pPr>
        <w:spacing w:after="0" w:line="240" w:lineRule="auto"/>
        <w:jc w:val="center"/>
        <w:rPr>
          <w:color w:val="FF0000"/>
          <w:sz w:val="44"/>
        </w:rPr>
      </w:pPr>
      <w:r w:rsidRPr="00A772BB">
        <w:rPr>
          <w:sz w:val="44"/>
        </w:rPr>
        <w:t>Salle de gymnastique de la Fontenelle</w:t>
      </w:r>
    </w:p>
    <w:p w14:paraId="6A13EE67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19ADD224" w14:textId="124BF57A" w:rsidR="00A62883" w:rsidRPr="001840C4" w:rsidRDefault="00A62883" w:rsidP="00A772BB">
      <w:pPr>
        <w:spacing w:after="0" w:line="240" w:lineRule="auto"/>
        <w:jc w:val="center"/>
        <w:rPr>
          <w:color w:val="FF0000"/>
          <w:sz w:val="44"/>
        </w:rPr>
      </w:pPr>
      <w:r w:rsidRPr="007D600E">
        <w:rPr>
          <w:sz w:val="44"/>
        </w:rPr>
        <w:t>Organisation</w:t>
      </w:r>
      <w:r w:rsidR="007D600E" w:rsidRPr="007D600E">
        <w:rPr>
          <w:sz w:val="44"/>
        </w:rPr>
        <w:t xml:space="preserve"> F</w:t>
      </w:r>
      <w:r w:rsidR="001840C4">
        <w:rPr>
          <w:sz w:val="44"/>
        </w:rPr>
        <w:t>SG Femina Hauterive</w:t>
      </w:r>
    </w:p>
    <w:p w14:paraId="3C63780F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4F01AE24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0E827AFD" w14:textId="77777777" w:rsidR="00A772BB" w:rsidRDefault="00A772BB" w:rsidP="00A772BB">
      <w:pPr>
        <w:spacing w:after="0" w:line="240" w:lineRule="auto"/>
        <w:jc w:val="center"/>
        <w:rPr>
          <w:b/>
          <w:sz w:val="72"/>
        </w:rPr>
        <w:sectPr w:rsidR="00A772BB" w:rsidSect="00EF1D41">
          <w:headerReference w:type="first" r:id="rId8"/>
          <w:pgSz w:w="11906" w:h="16838"/>
          <w:pgMar w:top="1985" w:right="1418" w:bottom="1418" w:left="1418" w:header="709" w:footer="709" w:gutter="0"/>
          <w:cols w:space="708"/>
          <w:titlePg/>
          <w:docGrid w:linePitch="360"/>
        </w:sectPr>
      </w:pPr>
      <w:r w:rsidRPr="00A772BB">
        <w:rPr>
          <w:b/>
          <w:sz w:val="72"/>
        </w:rPr>
        <w:t>Directives de concours</w:t>
      </w: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0779ED" w:rsidRPr="00E02F94" w14:paraId="76E77C9C" w14:textId="77777777" w:rsidTr="00E02F94">
        <w:trPr>
          <w:jc w:val="center"/>
        </w:trPr>
        <w:tc>
          <w:tcPr>
            <w:tcW w:w="1701" w:type="dxa"/>
            <w:shd w:val="clear" w:color="auto" w:fill="E7E6E6" w:themeFill="background2"/>
          </w:tcPr>
          <w:p w14:paraId="3EB50291" w14:textId="77777777" w:rsidR="000779ED" w:rsidRPr="00E02F94" w:rsidRDefault="000779ED" w:rsidP="000779ED">
            <w:pPr>
              <w:rPr>
                <w:sz w:val="36"/>
              </w:rPr>
            </w:pPr>
            <w:r w:rsidRPr="00E02F94">
              <w:rPr>
                <w:sz w:val="36"/>
              </w:rPr>
              <w:lastRenderedPageBreak/>
              <w:t>Art. 1</w:t>
            </w:r>
          </w:p>
        </w:tc>
        <w:tc>
          <w:tcPr>
            <w:tcW w:w="7937" w:type="dxa"/>
            <w:shd w:val="clear" w:color="auto" w:fill="E7E6E6" w:themeFill="background2"/>
          </w:tcPr>
          <w:p w14:paraId="41305988" w14:textId="77777777" w:rsidR="000779ED" w:rsidRPr="00E02F94" w:rsidRDefault="000779ED" w:rsidP="00A772BB">
            <w:pPr>
              <w:jc w:val="center"/>
              <w:rPr>
                <w:sz w:val="36"/>
              </w:rPr>
            </w:pPr>
            <w:r w:rsidRPr="00E02F94">
              <w:rPr>
                <w:sz w:val="36"/>
              </w:rPr>
              <w:t>Directives générales</w:t>
            </w:r>
          </w:p>
        </w:tc>
      </w:tr>
    </w:tbl>
    <w:p w14:paraId="29A47472" w14:textId="77777777" w:rsidR="00A772BB" w:rsidRDefault="00A772BB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0779ED" w:rsidRPr="000779ED" w14:paraId="252E0075" w14:textId="77777777" w:rsidTr="000779ED">
        <w:trPr>
          <w:jc w:val="center"/>
        </w:trPr>
        <w:tc>
          <w:tcPr>
            <w:tcW w:w="1701" w:type="dxa"/>
          </w:tcPr>
          <w:p w14:paraId="2513F1FD" w14:textId="77777777" w:rsidR="000779ED" w:rsidRPr="000779ED" w:rsidRDefault="000779ED" w:rsidP="000779ED">
            <w:pPr>
              <w:rPr>
                <w:sz w:val="24"/>
              </w:rPr>
            </w:pPr>
            <w:r w:rsidRPr="000779ED">
              <w:rPr>
                <w:sz w:val="24"/>
              </w:rPr>
              <w:t>Art. 1.1</w:t>
            </w:r>
          </w:p>
        </w:tc>
        <w:tc>
          <w:tcPr>
            <w:tcW w:w="7937" w:type="dxa"/>
          </w:tcPr>
          <w:p w14:paraId="00316D0B" w14:textId="72EB9EDC" w:rsidR="000779ED" w:rsidRDefault="000779ED" w:rsidP="00346C6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r w:rsidR="007D600E">
              <w:rPr>
                <w:sz w:val="24"/>
              </w:rPr>
              <w:t xml:space="preserve">journée de tests </w:t>
            </w:r>
            <w:r>
              <w:rPr>
                <w:sz w:val="24"/>
              </w:rPr>
              <w:t xml:space="preserve">de </w:t>
            </w:r>
            <w:proofErr w:type="spellStart"/>
            <w:r>
              <w:rPr>
                <w:sz w:val="24"/>
              </w:rPr>
              <w:t>Gym&amp;Danse</w:t>
            </w:r>
            <w:proofErr w:type="spellEnd"/>
            <w:r>
              <w:rPr>
                <w:sz w:val="24"/>
              </w:rPr>
              <w:t xml:space="preserve"> Jeunesse et Adulte entre dans la compétence de la commission gymnastique</w:t>
            </w:r>
            <w:r w:rsidR="004C43CE">
              <w:rPr>
                <w:sz w:val="24"/>
              </w:rPr>
              <w:t xml:space="preserve"> de l’ACNG.</w:t>
            </w:r>
          </w:p>
          <w:p w14:paraId="06D02946" w14:textId="77777777" w:rsidR="004C43CE" w:rsidRDefault="004C43CE" w:rsidP="004C43CE">
            <w:pPr>
              <w:jc w:val="both"/>
              <w:rPr>
                <w:sz w:val="24"/>
              </w:rPr>
            </w:pPr>
            <w:r>
              <w:rPr>
                <w:sz w:val="24"/>
              </w:rPr>
              <w:t>La commission :</w:t>
            </w:r>
          </w:p>
          <w:p w14:paraId="7ACC1717" w14:textId="77777777" w:rsidR="004C43CE" w:rsidRDefault="004C43CE" w:rsidP="004C43CE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EE0693">
              <w:rPr>
                <w:sz w:val="24"/>
              </w:rPr>
              <w:t>Décide de la répartition des groupes</w:t>
            </w:r>
          </w:p>
          <w:p w14:paraId="3274A1C7" w14:textId="31BC4E5C" w:rsidR="004C43CE" w:rsidRPr="00B34F4B" w:rsidRDefault="004C43CE" w:rsidP="00B34F4B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EE0693">
              <w:rPr>
                <w:sz w:val="24"/>
              </w:rPr>
              <w:t>Nomme un jury</w:t>
            </w:r>
          </w:p>
          <w:p w14:paraId="09372FB6" w14:textId="5AEF8956" w:rsidR="004C43CE" w:rsidRPr="000779ED" w:rsidRDefault="004C43CE" w:rsidP="004C43CE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Discute des cas non prévus, la décision est sans appel</w:t>
            </w:r>
          </w:p>
        </w:tc>
      </w:tr>
      <w:tr w:rsidR="000779ED" w:rsidRPr="000779ED" w14:paraId="74E779CB" w14:textId="77777777" w:rsidTr="000779ED">
        <w:trPr>
          <w:jc w:val="center"/>
        </w:trPr>
        <w:tc>
          <w:tcPr>
            <w:tcW w:w="1701" w:type="dxa"/>
          </w:tcPr>
          <w:p w14:paraId="70D449D7" w14:textId="77777777" w:rsidR="000779ED" w:rsidRPr="000779ED" w:rsidRDefault="000779ED" w:rsidP="000779ED">
            <w:pPr>
              <w:rPr>
                <w:sz w:val="24"/>
              </w:rPr>
            </w:pPr>
            <w:r>
              <w:rPr>
                <w:sz w:val="24"/>
              </w:rPr>
              <w:t>Art. 1.2</w:t>
            </w:r>
          </w:p>
        </w:tc>
        <w:tc>
          <w:tcPr>
            <w:tcW w:w="7937" w:type="dxa"/>
          </w:tcPr>
          <w:p w14:paraId="1B21A5EF" w14:textId="30BBC108" w:rsidR="000779ED" w:rsidRPr="000779ED" w:rsidRDefault="007D600E" w:rsidP="00346C6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La journée de tests de </w:t>
            </w:r>
            <w:proofErr w:type="spellStart"/>
            <w:r>
              <w:rPr>
                <w:sz w:val="24"/>
              </w:rPr>
              <w:t>Gym&amp;Danse</w:t>
            </w:r>
            <w:proofErr w:type="spellEnd"/>
            <w:r>
              <w:rPr>
                <w:sz w:val="24"/>
              </w:rPr>
              <w:t xml:space="preserve"> Jeunesse et Adulte </w:t>
            </w:r>
            <w:r w:rsidR="000779ED">
              <w:rPr>
                <w:sz w:val="24"/>
              </w:rPr>
              <w:t>est ouverte à toutes les sociétés de l’ACNG.</w:t>
            </w:r>
          </w:p>
        </w:tc>
      </w:tr>
      <w:tr w:rsidR="007D600E" w:rsidRPr="000779ED" w14:paraId="52B4B987" w14:textId="77777777" w:rsidTr="000779ED">
        <w:trPr>
          <w:jc w:val="center"/>
        </w:trPr>
        <w:tc>
          <w:tcPr>
            <w:tcW w:w="1701" w:type="dxa"/>
          </w:tcPr>
          <w:p w14:paraId="5EDC00CC" w14:textId="7E2F5E76" w:rsidR="007D600E" w:rsidRDefault="007D600E" w:rsidP="000779ED">
            <w:pPr>
              <w:rPr>
                <w:sz w:val="24"/>
              </w:rPr>
            </w:pPr>
            <w:r>
              <w:rPr>
                <w:sz w:val="24"/>
              </w:rPr>
              <w:t>Art. 1.3</w:t>
            </w:r>
          </w:p>
        </w:tc>
        <w:tc>
          <w:tcPr>
            <w:tcW w:w="7937" w:type="dxa"/>
          </w:tcPr>
          <w:p w14:paraId="39176CC6" w14:textId="7B0E3E3D" w:rsidR="007D600E" w:rsidRDefault="007D600E" w:rsidP="00346C69">
            <w:pPr>
              <w:jc w:val="both"/>
              <w:rPr>
                <w:sz w:val="24"/>
              </w:rPr>
            </w:pPr>
            <w:r>
              <w:rPr>
                <w:sz w:val="24"/>
              </w:rPr>
              <w:t>La commission gymnastique fixe la date et le lieu de la journée en collaboration avec la société organisatrice.</w:t>
            </w:r>
          </w:p>
        </w:tc>
      </w:tr>
      <w:tr w:rsidR="000779ED" w:rsidRPr="000779ED" w14:paraId="02B63A17" w14:textId="77777777" w:rsidTr="000779ED">
        <w:trPr>
          <w:jc w:val="center"/>
        </w:trPr>
        <w:tc>
          <w:tcPr>
            <w:tcW w:w="1701" w:type="dxa"/>
          </w:tcPr>
          <w:p w14:paraId="6F3854E2" w14:textId="2FAC31F6" w:rsidR="000779ED" w:rsidRPr="000779ED" w:rsidRDefault="000779ED" w:rsidP="000779ED">
            <w:pPr>
              <w:rPr>
                <w:sz w:val="24"/>
              </w:rPr>
            </w:pPr>
            <w:r>
              <w:rPr>
                <w:sz w:val="24"/>
              </w:rPr>
              <w:t>Art. 1.</w:t>
            </w:r>
            <w:r w:rsidR="007D600E">
              <w:rPr>
                <w:sz w:val="24"/>
              </w:rPr>
              <w:t>4</w:t>
            </w:r>
          </w:p>
        </w:tc>
        <w:tc>
          <w:tcPr>
            <w:tcW w:w="7937" w:type="dxa"/>
          </w:tcPr>
          <w:p w14:paraId="5F1D50EB" w14:textId="77777777" w:rsidR="000779ED" w:rsidRPr="000779ED" w:rsidRDefault="000779ED" w:rsidP="00346C6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Chaque gymnaste doit être </w:t>
            </w:r>
            <w:proofErr w:type="spellStart"/>
            <w:r>
              <w:rPr>
                <w:sz w:val="24"/>
              </w:rPr>
              <w:t>assuré·e</w:t>
            </w:r>
            <w:proofErr w:type="spellEnd"/>
            <w:r>
              <w:rPr>
                <w:sz w:val="24"/>
              </w:rPr>
              <w:t xml:space="preserve"> personnellement, le CO et l’ACNG décline toute responsabilité en cas de dégât ou d’accident.</w:t>
            </w:r>
          </w:p>
        </w:tc>
      </w:tr>
      <w:tr w:rsidR="000779ED" w:rsidRPr="000779ED" w14:paraId="4D205B59" w14:textId="77777777" w:rsidTr="000779ED">
        <w:trPr>
          <w:jc w:val="center"/>
        </w:trPr>
        <w:tc>
          <w:tcPr>
            <w:tcW w:w="1701" w:type="dxa"/>
          </w:tcPr>
          <w:p w14:paraId="7ADB61FD" w14:textId="1EFCA8E9" w:rsidR="000779ED" w:rsidRPr="000779ED" w:rsidRDefault="000779ED" w:rsidP="000779ED">
            <w:pPr>
              <w:rPr>
                <w:sz w:val="24"/>
              </w:rPr>
            </w:pPr>
            <w:r>
              <w:rPr>
                <w:sz w:val="24"/>
              </w:rPr>
              <w:t>Art. 1.</w:t>
            </w:r>
            <w:r w:rsidR="007D600E">
              <w:rPr>
                <w:sz w:val="24"/>
              </w:rPr>
              <w:t>5</w:t>
            </w:r>
          </w:p>
        </w:tc>
        <w:tc>
          <w:tcPr>
            <w:tcW w:w="7937" w:type="dxa"/>
          </w:tcPr>
          <w:p w14:paraId="6709B0E7" w14:textId="750F70A0" w:rsidR="0033316B" w:rsidRDefault="0033316B" w:rsidP="0033316B">
            <w:pPr>
              <w:jc w:val="both"/>
              <w:rPr>
                <w:sz w:val="24"/>
              </w:rPr>
            </w:pPr>
            <w:r>
              <w:rPr>
                <w:sz w:val="24"/>
              </w:rPr>
              <w:t>Les cartes de membres de la FSG ne sont valables que sur présentation d’une pièce d’identité (ou de la c</w:t>
            </w:r>
            <w:r w:rsidR="001840C4">
              <w:rPr>
                <w:sz w:val="24"/>
              </w:rPr>
              <w:t>opie ou d’une photo lisible</w:t>
            </w:r>
            <w:r>
              <w:rPr>
                <w:sz w:val="24"/>
              </w:rPr>
              <w:t>).</w:t>
            </w:r>
          </w:p>
          <w:p w14:paraId="5764B27D" w14:textId="79D484E7" w:rsidR="00B34F4B" w:rsidRPr="000779ED" w:rsidRDefault="0033316B" w:rsidP="003331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Veuillez contrôler </w:t>
            </w:r>
            <w:r w:rsidRPr="00237A56">
              <w:rPr>
                <w:sz w:val="24"/>
              </w:rPr>
              <w:t xml:space="preserve">que </w:t>
            </w:r>
            <w:proofErr w:type="spellStart"/>
            <w:r w:rsidRPr="00237A56">
              <w:rPr>
                <w:sz w:val="24"/>
              </w:rPr>
              <w:t>tout·e·s</w:t>
            </w:r>
            <w:proofErr w:type="spellEnd"/>
            <w:r w:rsidRPr="00237A56">
              <w:rPr>
                <w:sz w:val="24"/>
              </w:rPr>
              <w:t xml:space="preserve"> les</w:t>
            </w:r>
            <w:r>
              <w:rPr>
                <w:sz w:val="24"/>
              </w:rPr>
              <w:t xml:space="preserve"> gymnastes soient inscrites dans l’admin FSG.</w:t>
            </w:r>
          </w:p>
        </w:tc>
      </w:tr>
      <w:tr w:rsidR="000779ED" w:rsidRPr="000779ED" w14:paraId="7FC1F3E2" w14:textId="77777777" w:rsidTr="000779ED">
        <w:trPr>
          <w:jc w:val="center"/>
        </w:trPr>
        <w:tc>
          <w:tcPr>
            <w:tcW w:w="1701" w:type="dxa"/>
          </w:tcPr>
          <w:p w14:paraId="6D5D3B6C" w14:textId="459512C1" w:rsidR="000779ED" w:rsidRPr="000779ED" w:rsidRDefault="000779ED" w:rsidP="000779ED">
            <w:pPr>
              <w:rPr>
                <w:sz w:val="24"/>
              </w:rPr>
            </w:pPr>
            <w:r>
              <w:rPr>
                <w:sz w:val="24"/>
              </w:rPr>
              <w:t>Art. 1.</w:t>
            </w:r>
            <w:r w:rsidR="007D600E">
              <w:rPr>
                <w:sz w:val="24"/>
              </w:rPr>
              <w:t>6</w:t>
            </w:r>
          </w:p>
        </w:tc>
        <w:tc>
          <w:tcPr>
            <w:tcW w:w="7937" w:type="dxa"/>
          </w:tcPr>
          <w:p w14:paraId="2CBD9320" w14:textId="3E46A3E3" w:rsidR="000779ED" w:rsidRPr="000779ED" w:rsidRDefault="00346C69" w:rsidP="00346C69">
            <w:pPr>
              <w:jc w:val="both"/>
              <w:rPr>
                <w:sz w:val="24"/>
              </w:rPr>
            </w:pPr>
            <w:r w:rsidRPr="00346C69">
              <w:rPr>
                <w:sz w:val="24"/>
              </w:rPr>
              <w:t xml:space="preserve">Toute mesure supposée améliorer les résultats des participants à cette compétition (Dopage) est interdite. La direction des concours et </w:t>
            </w:r>
            <w:proofErr w:type="spellStart"/>
            <w:r w:rsidRPr="00346C69">
              <w:rPr>
                <w:sz w:val="24"/>
              </w:rPr>
              <w:t>Swiss</w:t>
            </w:r>
            <w:proofErr w:type="spellEnd"/>
            <w:r w:rsidRPr="00346C69">
              <w:rPr>
                <w:sz w:val="24"/>
              </w:rPr>
              <w:t xml:space="preserve"> Olympic sont autorisés à effectuer des contrôles dans les catégories adultes et à sanctionner les contrevenants en vertu du règlement (</w:t>
            </w:r>
            <w:hyperlink w:history="1">
              <w:r w:rsidRPr="00346C69">
                <w:rPr>
                  <w:sz w:val="24"/>
                </w:rPr>
                <w:t>www.swissolympic.ch)</w:t>
              </w:r>
            </w:hyperlink>
            <w:r w:rsidRPr="00346C69">
              <w:rPr>
                <w:sz w:val="24"/>
              </w:rPr>
              <w:t xml:space="preserve">. Les personnes sanctionnées par </w:t>
            </w:r>
            <w:proofErr w:type="spellStart"/>
            <w:r w:rsidRPr="00346C69">
              <w:rPr>
                <w:sz w:val="24"/>
              </w:rPr>
              <w:t>Swiss</w:t>
            </w:r>
            <w:proofErr w:type="spellEnd"/>
            <w:r w:rsidRPr="00346C69">
              <w:rPr>
                <w:sz w:val="24"/>
              </w:rPr>
              <w:t xml:space="preserve"> Olympic ne sont pas autorisées à participer </w:t>
            </w:r>
            <w:r w:rsidR="004C43CE">
              <w:rPr>
                <w:sz w:val="24"/>
              </w:rPr>
              <w:t>à la journée test.</w:t>
            </w:r>
          </w:p>
        </w:tc>
      </w:tr>
      <w:tr w:rsidR="000779ED" w:rsidRPr="000779ED" w14:paraId="0F086F29" w14:textId="77777777" w:rsidTr="000779ED">
        <w:trPr>
          <w:jc w:val="center"/>
        </w:trPr>
        <w:tc>
          <w:tcPr>
            <w:tcW w:w="1701" w:type="dxa"/>
          </w:tcPr>
          <w:p w14:paraId="4EB62D52" w14:textId="4CB740E1" w:rsidR="000779ED" w:rsidRPr="000779ED" w:rsidRDefault="00346C69" w:rsidP="000779ED">
            <w:pPr>
              <w:rPr>
                <w:sz w:val="24"/>
              </w:rPr>
            </w:pPr>
            <w:r>
              <w:rPr>
                <w:sz w:val="24"/>
              </w:rPr>
              <w:t>Art. 1.</w:t>
            </w:r>
            <w:r w:rsidR="007D600E">
              <w:rPr>
                <w:sz w:val="24"/>
              </w:rPr>
              <w:t>7</w:t>
            </w:r>
          </w:p>
        </w:tc>
        <w:tc>
          <w:tcPr>
            <w:tcW w:w="7937" w:type="dxa"/>
          </w:tcPr>
          <w:p w14:paraId="3DF58552" w14:textId="77777777" w:rsidR="000779ED" w:rsidRPr="000779ED" w:rsidRDefault="00346C69" w:rsidP="000779ED">
            <w:pPr>
              <w:rPr>
                <w:sz w:val="24"/>
              </w:rPr>
            </w:pPr>
            <w:r>
              <w:rPr>
                <w:sz w:val="24"/>
              </w:rPr>
              <w:t xml:space="preserve">Lors du concours, toute </w:t>
            </w:r>
            <w:r w:rsidR="00E02F94">
              <w:rPr>
                <w:sz w:val="24"/>
              </w:rPr>
              <w:t>information ou réclamation est à adresser au chef de concours.</w:t>
            </w:r>
          </w:p>
        </w:tc>
      </w:tr>
      <w:tr w:rsidR="00346C69" w:rsidRPr="000779ED" w14:paraId="65EAE333" w14:textId="77777777" w:rsidTr="000779ED">
        <w:trPr>
          <w:jc w:val="center"/>
        </w:trPr>
        <w:tc>
          <w:tcPr>
            <w:tcW w:w="1701" w:type="dxa"/>
          </w:tcPr>
          <w:p w14:paraId="519D3F9A" w14:textId="2ACC0268" w:rsidR="00346C69" w:rsidRPr="000779ED" w:rsidRDefault="00346C69" w:rsidP="000779ED">
            <w:pPr>
              <w:rPr>
                <w:sz w:val="24"/>
              </w:rPr>
            </w:pPr>
            <w:r>
              <w:rPr>
                <w:sz w:val="24"/>
              </w:rPr>
              <w:t>Art. 1.</w:t>
            </w:r>
            <w:r w:rsidR="007D600E">
              <w:rPr>
                <w:sz w:val="24"/>
              </w:rPr>
              <w:t>8</w:t>
            </w:r>
          </w:p>
        </w:tc>
        <w:tc>
          <w:tcPr>
            <w:tcW w:w="7937" w:type="dxa"/>
          </w:tcPr>
          <w:p w14:paraId="189DCA45" w14:textId="77777777" w:rsidR="00E02F94" w:rsidRPr="00E02F94" w:rsidRDefault="00E02F94" w:rsidP="00E02F94">
            <w:pPr>
              <w:jc w:val="both"/>
              <w:rPr>
                <w:sz w:val="24"/>
              </w:rPr>
            </w:pPr>
            <w:r w:rsidRPr="00E02F94">
              <w:rPr>
                <w:sz w:val="24"/>
              </w:rPr>
              <w:t>Comportement des participants :</w:t>
            </w:r>
          </w:p>
          <w:p w14:paraId="78656BF1" w14:textId="00A72FCA" w:rsidR="00346C69" w:rsidRPr="000779ED" w:rsidRDefault="00E02F94" w:rsidP="00E02F94">
            <w:pPr>
              <w:jc w:val="both"/>
              <w:rPr>
                <w:sz w:val="24"/>
              </w:rPr>
            </w:pPr>
            <w:r w:rsidRPr="00E02F94">
              <w:rPr>
                <w:sz w:val="24"/>
              </w:rPr>
              <w:t>Pour de graves cas de comportement antisportif, la direction d</w:t>
            </w:r>
            <w:r w:rsidR="000F03CD">
              <w:rPr>
                <w:sz w:val="24"/>
              </w:rPr>
              <w:t>u</w:t>
            </w:r>
            <w:r w:rsidRPr="00E02F94">
              <w:rPr>
                <w:sz w:val="24"/>
              </w:rPr>
              <w:t xml:space="preserve"> </w:t>
            </w:r>
            <w:r w:rsidR="000F03CD" w:rsidRPr="00E02F94">
              <w:rPr>
                <w:sz w:val="24"/>
              </w:rPr>
              <w:t>concours</w:t>
            </w:r>
            <w:r w:rsidRPr="00E02F94">
              <w:rPr>
                <w:sz w:val="24"/>
              </w:rPr>
              <w:t xml:space="preserve"> est habilitée à exclure la société </w:t>
            </w:r>
            <w:r w:rsidR="000F03CD" w:rsidRPr="00E02F94">
              <w:rPr>
                <w:sz w:val="24"/>
              </w:rPr>
              <w:t>concours</w:t>
            </w:r>
            <w:r w:rsidRPr="00E02F94">
              <w:rPr>
                <w:sz w:val="24"/>
              </w:rPr>
              <w:t>, à lui imposer une amende et à la disqualifier en application du règlement des sanctions et amendes de la FSG (édition en vigueur). En cas de vandalisme, destruction intentionnelle ou vol, les mesures de droit civil sont applicables.</w:t>
            </w:r>
          </w:p>
        </w:tc>
      </w:tr>
      <w:tr w:rsidR="008B6583" w:rsidRPr="000779ED" w14:paraId="4033F228" w14:textId="77777777" w:rsidTr="000779ED">
        <w:trPr>
          <w:jc w:val="center"/>
        </w:trPr>
        <w:tc>
          <w:tcPr>
            <w:tcW w:w="1701" w:type="dxa"/>
          </w:tcPr>
          <w:p w14:paraId="7F1B1608" w14:textId="2CE2671B" w:rsidR="008B6583" w:rsidRDefault="008B6583" w:rsidP="000779ED">
            <w:pPr>
              <w:rPr>
                <w:sz w:val="24"/>
              </w:rPr>
            </w:pPr>
            <w:r>
              <w:rPr>
                <w:sz w:val="24"/>
              </w:rPr>
              <w:t>Art. 1.</w:t>
            </w:r>
            <w:r w:rsidR="007D600E">
              <w:rPr>
                <w:sz w:val="24"/>
              </w:rPr>
              <w:t>9</w:t>
            </w:r>
          </w:p>
        </w:tc>
        <w:tc>
          <w:tcPr>
            <w:tcW w:w="7937" w:type="dxa"/>
          </w:tcPr>
          <w:p w14:paraId="4D29306F" w14:textId="15A3FF9C" w:rsidR="008B6583" w:rsidRPr="00E02F94" w:rsidRDefault="008B6583" w:rsidP="00E02F9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La direction du concours se réserve le droit d’éliminer </w:t>
            </w:r>
            <w:proofErr w:type="spellStart"/>
            <w:r>
              <w:rPr>
                <w:sz w:val="24"/>
              </w:rPr>
              <w:t>un·e</w:t>
            </w:r>
            <w:proofErr w:type="spellEnd"/>
            <w:r>
              <w:rPr>
                <w:sz w:val="24"/>
              </w:rPr>
              <w:t xml:space="preserve"> gymnaste ou un groupe lors de tricherie sur l’âge. Une copie de</w:t>
            </w:r>
            <w:r w:rsidR="00440CA7">
              <w:rPr>
                <w:sz w:val="24"/>
              </w:rPr>
              <w:t xml:space="preserve"> la carte</w:t>
            </w:r>
            <w:r>
              <w:rPr>
                <w:sz w:val="24"/>
              </w:rPr>
              <w:t xml:space="preserve"> d’identité</w:t>
            </w:r>
            <w:r w:rsidR="001840C4">
              <w:rPr>
                <w:sz w:val="24"/>
              </w:rPr>
              <w:t xml:space="preserve"> (ou une photo lisible)</w:t>
            </w:r>
            <w:r>
              <w:rPr>
                <w:sz w:val="24"/>
              </w:rPr>
              <w:t xml:space="preserve"> peut être exigée.</w:t>
            </w:r>
          </w:p>
        </w:tc>
      </w:tr>
      <w:tr w:rsidR="008B6583" w:rsidRPr="000779ED" w14:paraId="4E28B8A4" w14:textId="77777777" w:rsidTr="000779ED">
        <w:trPr>
          <w:jc w:val="center"/>
        </w:trPr>
        <w:tc>
          <w:tcPr>
            <w:tcW w:w="1701" w:type="dxa"/>
          </w:tcPr>
          <w:p w14:paraId="23DDCE96" w14:textId="2A6BD7A6" w:rsidR="008B6583" w:rsidRDefault="008B6583" w:rsidP="000779ED">
            <w:pPr>
              <w:rPr>
                <w:sz w:val="24"/>
              </w:rPr>
            </w:pPr>
            <w:r>
              <w:rPr>
                <w:sz w:val="24"/>
              </w:rPr>
              <w:t>Art. 1.1</w:t>
            </w:r>
            <w:r w:rsidR="007D600E">
              <w:rPr>
                <w:sz w:val="24"/>
              </w:rPr>
              <w:t>0</w:t>
            </w:r>
          </w:p>
        </w:tc>
        <w:tc>
          <w:tcPr>
            <w:tcW w:w="7937" w:type="dxa"/>
          </w:tcPr>
          <w:p w14:paraId="0F4B131B" w14:textId="64A7F1FE" w:rsidR="008B6583" w:rsidRDefault="008B6583" w:rsidP="00E02F94">
            <w:pPr>
              <w:jc w:val="both"/>
              <w:rPr>
                <w:sz w:val="24"/>
              </w:rPr>
            </w:pPr>
            <w:r>
              <w:rPr>
                <w:sz w:val="24"/>
              </w:rPr>
              <w:t>Les moniteurs sont responsables de leurs gymnastes. En cas de vandalisme et d’anti-sportivité, l</w:t>
            </w:r>
            <w:r w:rsidR="00440CA7">
              <w:rPr>
                <w:sz w:val="24"/>
              </w:rPr>
              <w:t>a commission gymnastique</w:t>
            </w:r>
            <w:r>
              <w:rPr>
                <w:sz w:val="24"/>
              </w:rPr>
              <w:t xml:space="preserve"> prendra les mesures nécessaires.</w:t>
            </w:r>
          </w:p>
        </w:tc>
      </w:tr>
      <w:tr w:rsidR="00CE281A" w:rsidRPr="000779ED" w14:paraId="43EA4C27" w14:textId="77777777" w:rsidTr="000779ED">
        <w:trPr>
          <w:jc w:val="center"/>
        </w:trPr>
        <w:tc>
          <w:tcPr>
            <w:tcW w:w="1701" w:type="dxa"/>
          </w:tcPr>
          <w:p w14:paraId="59379C8B" w14:textId="644E7AB1" w:rsidR="00CE281A" w:rsidRPr="000779ED" w:rsidRDefault="00CE281A" w:rsidP="00CE281A">
            <w:pPr>
              <w:rPr>
                <w:sz w:val="24"/>
              </w:rPr>
            </w:pPr>
            <w:r>
              <w:rPr>
                <w:sz w:val="24"/>
              </w:rPr>
              <w:t>Art. 1.1</w:t>
            </w:r>
            <w:r w:rsidR="007D600E"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457D62BA" w14:textId="77777777" w:rsidR="00CE281A" w:rsidRDefault="00CE281A" w:rsidP="00CE281A">
            <w:pPr>
              <w:rPr>
                <w:sz w:val="24"/>
              </w:rPr>
            </w:pPr>
            <w:r>
              <w:rPr>
                <w:sz w:val="24"/>
              </w:rPr>
              <w:t>Tenues :</w:t>
            </w:r>
          </w:p>
          <w:p w14:paraId="7641586D" w14:textId="14F504DA" w:rsidR="00CE281A" w:rsidRPr="000779ED" w:rsidRDefault="00CE281A" w:rsidP="00CE281A">
            <w:pPr>
              <w:rPr>
                <w:sz w:val="24"/>
              </w:rPr>
            </w:pPr>
            <w:r>
              <w:rPr>
                <w:sz w:val="24"/>
              </w:rPr>
              <w:t xml:space="preserve">Se référer aux directives </w:t>
            </w:r>
            <w:r w:rsidR="007A0E87">
              <w:rPr>
                <w:sz w:val="24"/>
              </w:rPr>
              <w:t>g</w:t>
            </w:r>
            <w:r w:rsidR="00440CA7">
              <w:rPr>
                <w:sz w:val="24"/>
              </w:rPr>
              <w:t xml:space="preserve">ymnastique </w:t>
            </w:r>
            <w:r w:rsidR="007A0E87">
              <w:rPr>
                <w:sz w:val="24"/>
              </w:rPr>
              <w:t>2020</w:t>
            </w:r>
            <w:r>
              <w:rPr>
                <w:sz w:val="24"/>
              </w:rPr>
              <w:t>.</w:t>
            </w:r>
          </w:p>
        </w:tc>
      </w:tr>
      <w:tr w:rsidR="007A0E87" w:rsidRPr="000779ED" w14:paraId="3A456F70" w14:textId="77777777" w:rsidTr="000779ED">
        <w:trPr>
          <w:jc w:val="center"/>
        </w:trPr>
        <w:tc>
          <w:tcPr>
            <w:tcW w:w="1701" w:type="dxa"/>
          </w:tcPr>
          <w:p w14:paraId="4DBAC621" w14:textId="0C801084" w:rsidR="007A0E87" w:rsidRDefault="007A0E87" w:rsidP="00CE281A">
            <w:pPr>
              <w:rPr>
                <w:sz w:val="24"/>
              </w:rPr>
            </w:pPr>
            <w:r>
              <w:rPr>
                <w:sz w:val="24"/>
              </w:rPr>
              <w:t>Art. 1.1</w:t>
            </w:r>
            <w:r w:rsidR="007D600E">
              <w:rPr>
                <w:sz w:val="24"/>
              </w:rPr>
              <w:t>2</w:t>
            </w:r>
          </w:p>
        </w:tc>
        <w:tc>
          <w:tcPr>
            <w:tcW w:w="7937" w:type="dxa"/>
          </w:tcPr>
          <w:p w14:paraId="177CB4CB" w14:textId="79C6AE7E" w:rsidR="007A0E87" w:rsidRPr="00BF48E8" w:rsidRDefault="007A0E87" w:rsidP="007A0E87">
            <w:pPr>
              <w:jc w:val="both"/>
              <w:rPr>
                <w:sz w:val="24"/>
              </w:rPr>
            </w:pPr>
            <w:r w:rsidRPr="00BF48E8">
              <w:rPr>
                <w:sz w:val="24"/>
              </w:rPr>
              <w:t>Sont valables les directives</w:t>
            </w:r>
            <w:r w:rsidR="00237A56">
              <w:rPr>
                <w:sz w:val="24"/>
              </w:rPr>
              <w:t xml:space="preserve"> de</w:t>
            </w:r>
            <w:r w:rsidRPr="00BF48E8">
              <w:rPr>
                <w:sz w:val="24"/>
              </w:rPr>
              <w:t xml:space="preserve"> gymnastique, édition janvier 2020.</w:t>
            </w:r>
          </w:p>
          <w:p w14:paraId="114FB7A8" w14:textId="26309189" w:rsidR="007A0E87" w:rsidRDefault="007A0E87" w:rsidP="007A0E87">
            <w:pPr>
              <w:rPr>
                <w:sz w:val="24"/>
              </w:rPr>
            </w:pPr>
            <w:r w:rsidRPr="00BF48E8">
              <w:rPr>
                <w:b/>
                <w:sz w:val="24"/>
              </w:rPr>
              <w:t>La commande des directives est obligatoire, les moniteurs doivent s’y référer et en appliquer les principes.</w:t>
            </w:r>
          </w:p>
        </w:tc>
      </w:tr>
    </w:tbl>
    <w:p w14:paraId="46C4ABD8" w14:textId="77777777" w:rsidR="004C43CE" w:rsidRDefault="004C43CE" w:rsidP="00A772BB">
      <w:pPr>
        <w:spacing w:after="0" w:line="240" w:lineRule="auto"/>
        <w:jc w:val="center"/>
        <w:rPr>
          <w:sz w:val="36"/>
        </w:rPr>
        <w:sectPr w:rsidR="004C43CE" w:rsidSect="00EF1D41">
          <w:headerReference w:type="default" r:id="rId9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CE281A" w:rsidRPr="00E02F94" w14:paraId="21851C26" w14:textId="77777777" w:rsidTr="00F22513">
        <w:trPr>
          <w:jc w:val="center"/>
        </w:trPr>
        <w:tc>
          <w:tcPr>
            <w:tcW w:w="1701" w:type="dxa"/>
            <w:shd w:val="clear" w:color="auto" w:fill="E7E6E6" w:themeFill="background2"/>
          </w:tcPr>
          <w:p w14:paraId="3724C21C" w14:textId="77777777" w:rsidR="00CE281A" w:rsidRPr="00E02F94" w:rsidRDefault="00CE281A" w:rsidP="00F22513">
            <w:pPr>
              <w:rPr>
                <w:sz w:val="36"/>
              </w:rPr>
            </w:pPr>
            <w:r w:rsidRPr="00E02F94">
              <w:rPr>
                <w:sz w:val="36"/>
              </w:rPr>
              <w:lastRenderedPageBreak/>
              <w:t xml:space="preserve">Art. </w:t>
            </w:r>
            <w:r>
              <w:rPr>
                <w:sz w:val="36"/>
              </w:rPr>
              <w:t>2</w:t>
            </w:r>
          </w:p>
        </w:tc>
        <w:tc>
          <w:tcPr>
            <w:tcW w:w="7937" w:type="dxa"/>
            <w:shd w:val="clear" w:color="auto" w:fill="E7E6E6" w:themeFill="background2"/>
          </w:tcPr>
          <w:p w14:paraId="18376E09" w14:textId="6EECC27A" w:rsidR="00CE281A" w:rsidRPr="00E02F94" w:rsidRDefault="007D600E" w:rsidP="00F22513">
            <w:pPr>
              <w:jc w:val="center"/>
              <w:rPr>
                <w:sz w:val="36"/>
              </w:rPr>
            </w:pPr>
            <w:r>
              <w:rPr>
                <w:sz w:val="36"/>
              </w:rPr>
              <w:t>Catégories</w:t>
            </w:r>
          </w:p>
        </w:tc>
      </w:tr>
    </w:tbl>
    <w:p w14:paraId="0A959F38" w14:textId="77777777" w:rsidR="00CE281A" w:rsidRDefault="00CE281A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CE281A" w:rsidRPr="000779ED" w14:paraId="02001B13" w14:textId="77777777" w:rsidTr="00F22513">
        <w:trPr>
          <w:jc w:val="center"/>
        </w:trPr>
        <w:tc>
          <w:tcPr>
            <w:tcW w:w="1701" w:type="dxa"/>
          </w:tcPr>
          <w:p w14:paraId="2909F0C6" w14:textId="77777777" w:rsidR="00CE281A" w:rsidRPr="000779ED" w:rsidRDefault="00CE281A" w:rsidP="00F22513">
            <w:pPr>
              <w:rPr>
                <w:sz w:val="24"/>
              </w:rPr>
            </w:pPr>
            <w:r>
              <w:rPr>
                <w:sz w:val="24"/>
              </w:rPr>
              <w:t>Art. 2.1</w:t>
            </w:r>
          </w:p>
        </w:tc>
        <w:tc>
          <w:tcPr>
            <w:tcW w:w="7937" w:type="dxa"/>
          </w:tcPr>
          <w:p w14:paraId="508EE12E" w14:textId="1CC33B52" w:rsidR="00706A16" w:rsidRDefault="007D600E" w:rsidP="007D600E">
            <w:pPr>
              <w:tabs>
                <w:tab w:val="left" w:pos="48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Âge</w:t>
            </w:r>
            <w:r w:rsidR="00706A16">
              <w:rPr>
                <w:sz w:val="24"/>
              </w:rPr>
              <w:t> :</w:t>
            </w:r>
          </w:p>
          <w:p w14:paraId="2B531691" w14:textId="398F4577" w:rsidR="005550DF" w:rsidRPr="00B818CB" w:rsidRDefault="00706A16" w:rsidP="0098149D">
            <w:pPr>
              <w:tabs>
                <w:tab w:val="left" w:pos="311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Test cantonal jeunesse </w:t>
            </w:r>
            <w:r w:rsidR="00237A56">
              <w:rPr>
                <w:sz w:val="24"/>
              </w:rPr>
              <w:t>N</w:t>
            </w:r>
            <w:r>
              <w:rPr>
                <w:sz w:val="24"/>
              </w:rPr>
              <w:t>ovice</w:t>
            </w:r>
            <w:r w:rsidR="007D600E">
              <w:rPr>
                <w:sz w:val="24"/>
              </w:rPr>
              <w:tab/>
            </w:r>
            <w:r>
              <w:rPr>
                <w:sz w:val="24"/>
              </w:rPr>
              <w:t>jusqu’à 9 ans</w:t>
            </w:r>
            <w:r w:rsidR="00016268">
              <w:rPr>
                <w:sz w:val="24"/>
              </w:rPr>
              <w:t xml:space="preserve"> </w:t>
            </w:r>
            <w:r w:rsidR="00B818CB">
              <w:rPr>
                <w:sz w:val="24"/>
              </w:rPr>
              <w:t>(au plus tard 2016)</w:t>
            </w:r>
          </w:p>
          <w:p w14:paraId="100BD6F9" w14:textId="25B17932" w:rsidR="00706A16" w:rsidRDefault="00706A16" w:rsidP="0098149D">
            <w:pPr>
              <w:tabs>
                <w:tab w:val="left" w:pos="311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Test fédéral 1</w:t>
            </w:r>
            <w:r>
              <w:rPr>
                <w:sz w:val="24"/>
              </w:rPr>
              <w:tab/>
              <w:t>jusqu’à 13 ans</w:t>
            </w:r>
            <w:r w:rsidR="005C63BD">
              <w:rPr>
                <w:sz w:val="24"/>
              </w:rPr>
              <w:t xml:space="preserve"> </w:t>
            </w:r>
            <w:r w:rsidR="00B818CB">
              <w:rPr>
                <w:sz w:val="24"/>
              </w:rPr>
              <w:t>(au plus tard 2012)</w:t>
            </w:r>
          </w:p>
          <w:p w14:paraId="289F6F71" w14:textId="6A7B1E81" w:rsidR="00706A16" w:rsidRDefault="00706A16" w:rsidP="0098149D">
            <w:pPr>
              <w:tabs>
                <w:tab w:val="left" w:pos="311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Test fédéral 2</w:t>
            </w:r>
            <w:r>
              <w:rPr>
                <w:sz w:val="24"/>
              </w:rPr>
              <w:tab/>
              <w:t>jusqu’à 15 ans</w:t>
            </w:r>
            <w:r w:rsidR="005C63BD">
              <w:rPr>
                <w:sz w:val="24"/>
              </w:rPr>
              <w:t xml:space="preserve"> </w:t>
            </w:r>
            <w:r w:rsidR="00B818CB">
              <w:rPr>
                <w:sz w:val="24"/>
              </w:rPr>
              <w:t>(au plus tard 2010)</w:t>
            </w:r>
          </w:p>
          <w:p w14:paraId="160B9DAB" w14:textId="67BF716E" w:rsidR="00706A16" w:rsidRDefault="00706A16" w:rsidP="0098149D">
            <w:pPr>
              <w:tabs>
                <w:tab w:val="left" w:pos="311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Test fédéral 3</w:t>
            </w:r>
            <w:r>
              <w:rPr>
                <w:sz w:val="24"/>
              </w:rPr>
              <w:tab/>
            </w:r>
            <w:r w:rsidR="0098149D">
              <w:rPr>
                <w:sz w:val="24"/>
              </w:rPr>
              <w:t>j</w:t>
            </w:r>
            <w:r>
              <w:rPr>
                <w:sz w:val="24"/>
              </w:rPr>
              <w:t>usqu’à 1</w:t>
            </w:r>
            <w:r w:rsidR="001840C4">
              <w:rPr>
                <w:sz w:val="24"/>
              </w:rPr>
              <w:t>7</w:t>
            </w:r>
            <w:r>
              <w:rPr>
                <w:sz w:val="24"/>
              </w:rPr>
              <w:t xml:space="preserve"> ans</w:t>
            </w:r>
            <w:r w:rsidR="005C63BD">
              <w:rPr>
                <w:sz w:val="24"/>
              </w:rPr>
              <w:t xml:space="preserve"> </w:t>
            </w:r>
            <w:r w:rsidR="00B818CB">
              <w:rPr>
                <w:sz w:val="24"/>
              </w:rPr>
              <w:t>(au plus tard 2008)</w:t>
            </w:r>
          </w:p>
          <w:p w14:paraId="437887D7" w14:textId="11302B09" w:rsidR="00706A16" w:rsidRPr="005550DF" w:rsidRDefault="00706A16" w:rsidP="0098149D">
            <w:pPr>
              <w:tabs>
                <w:tab w:val="left" w:pos="311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Test fédéral 4-5-6-7 (</w:t>
            </w:r>
            <w:r w:rsidR="00E61F2B">
              <w:rPr>
                <w:sz w:val="24"/>
              </w:rPr>
              <w:t>Actives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 w:rsidR="00CC3B69">
              <w:rPr>
                <w:sz w:val="24"/>
              </w:rPr>
              <w:t>pas d’âge requis</w:t>
            </w:r>
          </w:p>
        </w:tc>
      </w:tr>
      <w:tr w:rsidR="007D600E" w:rsidRPr="000779ED" w14:paraId="25158CD9" w14:textId="77777777" w:rsidTr="00F22513">
        <w:trPr>
          <w:jc w:val="center"/>
        </w:trPr>
        <w:tc>
          <w:tcPr>
            <w:tcW w:w="1701" w:type="dxa"/>
          </w:tcPr>
          <w:p w14:paraId="2B60ACB5" w14:textId="448668AB" w:rsidR="007D600E" w:rsidRDefault="00A36696" w:rsidP="00F22513">
            <w:pPr>
              <w:rPr>
                <w:sz w:val="24"/>
              </w:rPr>
            </w:pPr>
            <w:r>
              <w:rPr>
                <w:sz w:val="24"/>
              </w:rPr>
              <w:t>Art. 2.2</w:t>
            </w:r>
          </w:p>
        </w:tc>
        <w:tc>
          <w:tcPr>
            <w:tcW w:w="7937" w:type="dxa"/>
          </w:tcPr>
          <w:p w14:paraId="6BD5D171" w14:textId="662AAC69" w:rsidR="007D600E" w:rsidRPr="00A36696" w:rsidRDefault="00A36696" w:rsidP="007D600E">
            <w:pPr>
              <w:spacing w:after="120"/>
              <w:jc w:val="both"/>
              <w:rPr>
                <w:sz w:val="24"/>
              </w:rPr>
            </w:pPr>
            <w:r w:rsidRPr="00A36696">
              <w:rPr>
                <w:sz w:val="24"/>
              </w:rPr>
              <w:t>Parties de test :</w:t>
            </w:r>
          </w:p>
          <w:p w14:paraId="04D0D6F0" w14:textId="77777777" w:rsidR="007D600E" w:rsidRDefault="007D600E" w:rsidP="0098149D">
            <w:pPr>
              <w:tabs>
                <w:tab w:val="left" w:pos="4820"/>
              </w:tabs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Test de gymnastique jeunesse cantonal Novice</w:t>
            </w:r>
            <w:r>
              <w:rPr>
                <w:sz w:val="24"/>
              </w:rPr>
              <w:tab/>
              <w:t>1 partie</w:t>
            </w:r>
          </w:p>
          <w:p w14:paraId="5AD26477" w14:textId="7B1A83EC" w:rsidR="007D600E" w:rsidRDefault="007D600E" w:rsidP="007D600E">
            <w:pPr>
              <w:tabs>
                <w:tab w:val="left" w:pos="48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Test</w:t>
            </w:r>
            <w:r w:rsidR="00A36696">
              <w:rPr>
                <w:sz w:val="24"/>
              </w:rPr>
              <w:t>s</w:t>
            </w:r>
            <w:r>
              <w:rPr>
                <w:sz w:val="24"/>
              </w:rPr>
              <w:t xml:space="preserve"> de gymnastique jeunesse fédéraux 1 à 3</w:t>
            </w:r>
            <w:r>
              <w:rPr>
                <w:sz w:val="24"/>
              </w:rPr>
              <w:tab/>
              <w:t>2 parties pour le test 1</w:t>
            </w:r>
          </w:p>
          <w:p w14:paraId="2DCE05F5" w14:textId="77777777" w:rsidR="007D600E" w:rsidRDefault="007D600E" w:rsidP="007D600E">
            <w:pPr>
              <w:tabs>
                <w:tab w:val="left" w:pos="48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  <w:t>2 parties pour le test 2</w:t>
            </w:r>
          </w:p>
          <w:p w14:paraId="54651AAC" w14:textId="0C699DAA" w:rsidR="007D600E" w:rsidRDefault="007D600E" w:rsidP="00A36696">
            <w:pPr>
              <w:tabs>
                <w:tab w:val="left" w:pos="4820"/>
              </w:tabs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3 parties pour le test 3</w:t>
            </w:r>
          </w:p>
          <w:p w14:paraId="4AD2490A" w14:textId="4DC05A2E" w:rsidR="00A36696" w:rsidRDefault="00A36696" w:rsidP="007D600E">
            <w:pPr>
              <w:tabs>
                <w:tab w:val="left" w:pos="48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Tests de gymnastique </w:t>
            </w:r>
            <w:r w:rsidR="00E61F2B">
              <w:rPr>
                <w:sz w:val="24"/>
              </w:rPr>
              <w:t>Actives</w:t>
            </w:r>
            <w:r>
              <w:rPr>
                <w:sz w:val="24"/>
              </w:rPr>
              <w:t xml:space="preserve"> fédéraux 4 à 7</w:t>
            </w:r>
            <w:r>
              <w:rPr>
                <w:sz w:val="24"/>
              </w:rPr>
              <w:tab/>
              <w:t>3 parties pour le test 4</w:t>
            </w:r>
          </w:p>
          <w:p w14:paraId="7FC26085" w14:textId="101C7C02" w:rsidR="00A36696" w:rsidRDefault="00A36696" w:rsidP="007D600E">
            <w:pPr>
              <w:tabs>
                <w:tab w:val="left" w:pos="48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  <w:t>3 parties pour le test 5</w:t>
            </w:r>
          </w:p>
          <w:p w14:paraId="2FCE18CB" w14:textId="5AEF2C5D" w:rsidR="00A36696" w:rsidRDefault="00A36696" w:rsidP="007D600E">
            <w:pPr>
              <w:tabs>
                <w:tab w:val="left" w:pos="48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  <w:t>3 parties pour le test 6</w:t>
            </w:r>
          </w:p>
          <w:p w14:paraId="36CE5812" w14:textId="64EB3683" w:rsidR="007D600E" w:rsidRPr="00A36696" w:rsidRDefault="00A36696" w:rsidP="00A36696">
            <w:pPr>
              <w:tabs>
                <w:tab w:val="left" w:pos="48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ab/>
              <w:t>4 parties pour le test 7</w:t>
            </w:r>
          </w:p>
        </w:tc>
      </w:tr>
      <w:tr w:rsidR="00CE281A" w:rsidRPr="000779ED" w14:paraId="730EBE56" w14:textId="77777777" w:rsidTr="00F22513">
        <w:trPr>
          <w:jc w:val="center"/>
        </w:trPr>
        <w:tc>
          <w:tcPr>
            <w:tcW w:w="1701" w:type="dxa"/>
          </w:tcPr>
          <w:p w14:paraId="591B64D1" w14:textId="4CC21F70" w:rsidR="00CE281A" w:rsidRPr="000779ED" w:rsidRDefault="005550DF" w:rsidP="00F22513">
            <w:pPr>
              <w:rPr>
                <w:sz w:val="24"/>
              </w:rPr>
            </w:pPr>
            <w:r>
              <w:rPr>
                <w:sz w:val="24"/>
              </w:rPr>
              <w:t>Art. 2.</w:t>
            </w:r>
            <w:r w:rsidR="00A36696">
              <w:rPr>
                <w:sz w:val="24"/>
              </w:rPr>
              <w:t>3</w:t>
            </w:r>
          </w:p>
        </w:tc>
        <w:tc>
          <w:tcPr>
            <w:tcW w:w="7937" w:type="dxa"/>
          </w:tcPr>
          <w:p w14:paraId="353DBD29" w14:textId="77777777" w:rsidR="005550DF" w:rsidRDefault="00A36696" w:rsidP="00A36696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Passage de test :</w:t>
            </w:r>
          </w:p>
          <w:p w14:paraId="64EA1AB6" w14:textId="464F71C1" w:rsidR="00A36696" w:rsidRDefault="00A36696" w:rsidP="00A36696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Chaque partie de test peut être passée séparément</w:t>
            </w:r>
            <w:r w:rsidR="00FA5D52">
              <w:rPr>
                <w:sz w:val="24"/>
              </w:rPr>
              <w:t>. Les insignes ne sont remis que lors que toutes les parties d’un test sont réussies.</w:t>
            </w:r>
          </w:p>
          <w:p w14:paraId="20469E37" w14:textId="2834637A" w:rsidR="00A36696" w:rsidRPr="00A36696" w:rsidRDefault="00A36696" w:rsidP="00F22513">
            <w:pPr>
              <w:jc w:val="both"/>
              <w:rPr>
                <w:b/>
                <w:sz w:val="24"/>
              </w:rPr>
            </w:pPr>
            <w:r w:rsidRPr="00A36696">
              <w:rPr>
                <w:b/>
                <w:sz w:val="24"/>
              </w:rPr>
              <w:t>Jeunesse</w:t>
            </w:r>
          </w:p>
          <w:p w14:paraId="7CD908D2" w14:textId="519256BB" w:rsidR="00A36696" w:rsidRDefault="00A36696" w:rsidP="00A36696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Le choix du commencement des tests est libre</w:t>
            </w:r>
            <w:r w:rsidR="00237A56">
              <w:rPr>
                <w:sz w:val="24"/>
              </w:rPr>
              <w:t xml:space="preserve"> tout en respectant l’art. 2.2</w:t>
            </w:r>
            <w:r w:rsidR="00FC637E">
              <w:rPr>
                <w:sz w:val="24"/>
              </w:rPr>
              <w:t>. I</w:t>
            </w:r>
            <w:r>
              <w:rPr>
                <w:sz w:val="24"/>
              </w:rPr>
              <w:t xml:space="preserve">l </w:t>
            </w:r>
            <w:r w:rsidR="00FC637E">
              <w:rPr>
                <w:sz w:val="24"/>
              </w:rPr>
              <w:t>n’est pas n</w:t>
            </w:r>
            <w:r>
              <w:rPr>
                <w:sz w:val="24"/>
              </w:rPr>
              <w:t>écessaire d’avoir pass</w:t>
            </w:r>
            <w:r w:rsidR="00FC637E">
              <w:rPr>
                <w:sz w:val="24"/>
              </w:rPr>
              <w:t>é</w:t>
            </w:r>
            <w:r>
              <w:rPr>
                <w:sz w:val="24"/>
              </w:rPr>
              <w:t xml:space="preserve"> </w:t>
            </w:r>
            <w:r w:rsidR="00FC637E">
              <w:rPr>
                <w:sz w:val="24"/>
              </w:rPr>
              <w:t xml:space="preserve">le </w:t>
            </w:r>
            <w:r>
              <w:rPr>
                <w:sz w:val="24"/>
              </w:rPr>
              <w:t xml:space="preserve">test </w:t>
            </w:r>
            <w:r w:rsidR="00FC637E">
              <w:rPr>
                <w:sz w:val="24"/>
              </w:rPr>
              <w:t xml:space="preserve">précédent pour </w:t>
            </w:r>
            <w:r>
              <w:rPr>
                <w:sz w:val="24"/>
              </w:rPr>
              <w:t xml:space="preserve">accéder au </w:t>
            </w:r>
            <w:r w:rsidR="00FC637E">
              <w:rPr>
                <w:sz w:val="24"/>
              </w:rPr>
              <w:t>suivant (tests 1 à 3 + novices).</w:t>
            </w:r>
            <w:r w:rsidR="00237A56">
              <w:rPr>
                <w:sz w:val="24"/>
              </w:rPr>
              <w:t xml:space="preserve"> </w:t>
            </w:r>
          </w:p>
          <w:p w14:paraId="70F766BD" w14:textId="7E8F6FEA" w:rsidR="00A36696" w:rsidRPr="00A36696" w:rsidRDefault="00A36696" w:rsidP="00F22513">
            <w:pPr>
              <w:jc w:val="both"/>
              <w:rPr>
                <w:b/>
                <w:sz w:val="24"/>
              </w:rPr>
            </w:pPr>
            <w:r w:rsidRPr="00A36696">
              <w:rPr>
                <w:b/>
                <w:sz w:val="24"/>
              </w:rPr>
              <w:t>Acti</w:t>
            </w:r>
            <w:r w:rsidR="00E61F2B">
              <w:rPr>
                <w:b/>
                <w:sz w:val="24"/>
              </w:rPr>
              <w:t>ves</w:t>
            </w:r>
          </w:p>
          <w:p w14:paraId="57CD1E42" w14:textId="6948DBC9" w:rsidR="00A36696" w:rsidRPr="000779ED" w:rsidRDefault="00A36696" w:rsidP="00FC637E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Les tests acti</w:t>
            </w:r>
            <w:r w:rsidR="00E61F2B">
              <w:rPr>
                <w:sz w:val="24"/>
              </w:rPr>
              <w:t>ves</w:t>
            </w:r>
            <w:r>
              <w:rPr>
                <w:sz w:val="24"/>
              </w:rPr>
              <w:t xml:space="preserve"> doivent être commencés par le 4. Il est </w:t>
            </w:r>
            <w:r w:rsidR="00FC637E">
              <w:rPr>
                <w:sz w:val="24"/>
              </w:rPr>
              <w:t xml:space="preserve">obligatoire </w:t>
            </w:r>
            <w:r>
              <w:rPr>
                <w:sz w:val="24"/>
              </w:rPr>
              <w:t>d’avoir passé toutes les parties d’un test pour accéder au test suivant.</w:t>
            </w:r>
          </w:p>
        </w:tc>
      </w:tr>
      <w:tr w:rsidR="00514D21" w:rsidRPr="000779ED" w14:paraId="13342A1A" w14:textId="77777777" w:rsidTr="00B806FF">
        <w:trPr>
          <w:jc w:val="center"/>
        </w:trPr>
        <w:tc>
          <w:tcPr>
            <w:tcW w:w="1701" w:type="dxa"/>
            <w:shd w:val="clear" w:color="auto" w:fill="auto"/>
          </w:tcPr>
          <w:p w14:paraId="7BDE3B53" w14:textId="11D3B6FE" w:rsidR="00514D21" w:rsidRPr="00B806FF" w:rsidRDefault="00514D21" w:rsidP="00F22513">
            <w:pPr>
              <w:rPr>
                <w:sz w:val="24"/>
              </w:rPr>
            </w:pPr>
            <w:r w:rsidRPr="00B806FF">
              <w:rPr>
                <w:sz w:val="24"/>
              </w:rPr>
              <w:t>Art. 2.</w:t>
            </w:r>
            <w:r w:rsidR="00A36696">
              <w:rPr>
                <w:sz w:val="24"/>
              </w:rPr>
              <w:t>4</w:t>
            </w:r>
          </w:p>
        </w:tc>
        <w:tc>
          <w:tcPr>
            <w:tcW w:w="7937" w:type="dxa"/>
            <w:shd w:val="clear" w:color="auto" w:fill="auto"/>
          </w:tcPr>
          <w:p w14:paraId="58560427" w14:textId="77777777" w:rsidR="00514D21" w:rsidRDefault="00FC637E" w:rsidP="00A550CB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Pour toutes autres informations, se référer aux directives de tests de gymnastiques :</w:t>
            </w:r>
          </w:p>
          <w:p w14:paraId="3CE7694C" w14:textId="3E17214C" w:rsidR="00FC637E" w:rsidRDefault="00A550CB" w:rsidP="00A550CB">
            <w:pPr>
              <w:tabs>
                <w:tab w:val="left" w:pos="170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Jeunesse</w:t>
            </w:r>
            <w:r w:rsidR="00FC637E">
              <w:rPr>
                <w:sz w:val="24"/>
              </w:rPr>
              <w:t xml:space="preserve"> </w:t>
            </w:r>
            <w:r w:rsidR="00FC637E" w:rsidRPr="00FC637E">
              <w:rPr>
                <w:sz w:val="24"/>
              </w:rPr>
              <w:sym w:font="Wingdings" w:char="F0E0"/>
            </w:r>
            <w:r w:rsidR="00FC637E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Prescriptions</w:t>
            </w:r>
            <w:r w:rsidR="00FC637E">
              <w:rPr>
                <w:sz w:val="24"/>
              </w:rPr>
              <w:t xml:space="preserve"> ACNG et directive</w:t>
            </w:r>
            <w:r w:rsidR="00B34F4B">
              <w:rPr>
                <w:sz w:val="24"/>
              </w:rPr>
              <w:t>s</w:t>
            </w:r>
            <w:r w:rsidR="00FC637E">
              <w:rPr>
                <w:sz w:val="24"/>
              </w:rPr>
              <w:t xml:space="preserve"> de gymnastique édition 2020</w:t>
            </w:r>
          </w:p>
          <w:p w14:paraId="1796E74D" w14:textId="349C47AA" w:rsidR="00A550CB" w:rsidRPr="00B806FF" w:rsidRDefault="00A550CB" w:rsidP="00A550CB">
            <w:pPr>
              <w:tabs>
                <w:tab w:val="left" w:pos="170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Active</w:t>
            </w:r>
            <w:r w:rsidR="00E61F2B">
              <w:rPr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 w:rsidRPr="00A550CB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Directive</w:t>
            </w:r>
            <w:r w:rsidR="00E61F2B">
              <w:rPr>
                <w:sz w:val="24"/>
              </w:rPr>
              <w:t>s</w:t>
            </w:r>
            <w:r>
              <w:rPr>
                <w:sz w:val="24"/>
              </w:rPr>
              <w:t xml:space="preserve"> de gymnastique édition 2020</w:t>
            </w:r>
          </w:p>
        </w:tc>
      </w:tr>
    </w:tbl>
    <w:p w14:paraId="2852CED2" w14:textId="77777777" w:rsidR="00CE281A" w:rsidRDefault="00CE281A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BF48E8" w:rsidRPr="00E02F94" w14:paraId="539C16DC" w14:textId="77777777" w:rsidTr="00F22513">
        <w:trPr>
          <w:jc w:val="center"/>
        </w:trPr>
        <w:tc>
          <w:tcPr>
            <w:tcW w:w="1701" w:type="dxa"/>
            <w:shd w:val="clear" w:color="auto" w:fill="E7E6E6" w:themeFill="background2"/>
          </w:tcPr>
          <w:p w14:paraId="0BD521EA" w14:textId="77777777" w:rsidR="00BF48E8" w:rsidRPr="00E02F94" w:rsidRDefault="00BF48E8" w:rsidP="00F22513">
            <w:pPr>
              <w:rPr>
                <w:sz w:val="36"/>
              </w:rPr>
            </w:pPr>
            <w:r w:rsidRPr="00E02F94">
              <w:rPr>
                <w:sz w:val="36"/>
              </w:rPr>
              <w:t xml:space="preserve">Art. </w:t>
            </w:r>
            <w:r>
              <w:rPr>
                <w:sz w:val="36"/>
              </w:rPr>
              <w:t>3</w:t>
            </w:r>
          </w:p>
        </w:tc>
        <w:tc>
          <w:tcPr>
            <w:tcW w:w="7937" w:type="dxa"/>
            <w:shd w:val="clear" w:color="auto" w:fill="E7E6E6" w:themeFill="background2"/>
          </w:tcPr>
          <w:p w14:paraId="0A82B666" w14:textId="50E35913" w:rsidR="00BF48E8" w:rsidRPr="00E02F94" w:rsidRDefault="00A550CB" w:rsidP="00F22513">
            <w:pPr>
              <w:jc w:val="center"/>
              <w:rPr>
                <w:sz w:val="36"/>
              </w:rPr>
            </w:pPr>
            <w:r>
              <w:rPr>
                <w:sz w:val="36"/>
              </w:rPr>
              <w:t>Infrastructure et engins</w:t>
            </w:r>
          </w:p>
        </w:tc>
      </w:tr>
    </w:tbl>
    <w:p w14:paraId="2625CB6B" w14:textId="77777777" w:rsidR="00BF48E8" w:rsidRDefault="00BF48E8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BF48E8" w:rsidRPr="000779ED" w14:paraId="25DDE5CA" w14:textId="77777777" w:rsidTr="00F22513">
        <w:trPr>
          <w:jc w:val="center"/>
        </w:trPr>
        <w:tc>
          <w:tcPr>
            <w:tcW w:w="1701" w:type="dxa"/>
          </w:tcPr>
          <w:p w14:paraId="12F98504" w14:textId="77777777" w:rsidR="00BF48E8" w:rsidRPr="000779ED" w:rsidRDefault="00BF48E8" w:rsidP="00F22513">
            <w:pPr>
              <w:rPr>
                <w:sz w:val="24"/>
              </w:rPr>
            </w:pPr>
            <w:r>
              <w:rPr>
                <w:sz w:val="24"/>
              </w:rPr>
              <w:t>Art. 3.1</w:t>
            </w:r>
          </w:p>
        </w:tc>
        <w:tc>
          <w:tcPr>
            <w:tcW w:w="7937" w:type="dxa"/>
          </w:tcPr>
          <w:p w14:paraId="411A37DD" w14:textId="7F5AB28A" w:rsidR="00BF48E8" w:rsidRPr="00A550CB" w:rsidRDefault="00A550CB" w:rsidP="00A550CB">
            <w:pPr>
              <w:jc w:val="both"/>
              <w:rPr>
                <w:sz w:val="24"/>
              </w:rPr>
            </w:pPr>
            <w:r>
              <w:rPr>
                <w:sz w:val="24"/>
              </w:rPr>
              <w:t>La surface de travail est 12m x 12m.</w:t>
            </w:r>
          </w:p>
        </w:tc>
      </w:tr>
      <w:tr w:rsidR="00BF48E8" w:rsidRPr="000779ED" w14:paraId="11C43723" w14:textId="77777777" w:rsidTr="00F22513">
        <w:trPr>
          <w:jc w:val="center"/>
        </w:trPr>
        <w:tc>
          <w:tcPr>
            <w:tcW w:w="1701" w:type="dxa"/>
          </w:tcPr>
          <w:p w14:paraId="4CC53B51" w14:textId="77777777" w:rsidR="00BF48E8" w:rsidRPr="000779ED" w:rsidRDefault="00BF48E8" w:rsidP="00F22513">
            <w:pPr>
              <w:rPr>
                <w:sz w:val="24"/>
              </w:rPr>
            </w:pPr>
            <w:r>
              <w:rPr>
                <w:sz w:val="24"/>
              </w:rPr>
              <w:t>Art. 3.2</w:t>
            </w:r>
          </w:p>
        </w:tc>
        <w:tc>
          <w:tcPr>
            <w:tcW w:w="7937" w:type="dxa"/>
          </w:tcPr>
          <w:p w14:paraId="758720B8" w14:textId="77777777" w:rsidR="00A550CB" w:rsidRDefault="00A550CB" w:rsidP="00A550CB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Musique :</w:t>
            </w:r>
          </w:p>
          <w:p w14:paraId="691CB4C9" w14:textId="343D7F74" w:rsidR="00A550CB" w:rsidRPr="00A550CB" w:rsidRDefault="00A550CB" w:rsidP="00A550CB">
            <w:pPr>
              <w:jc w:val="both"/>
              <w:rPr>
                <w:sz w:val="24"/>
              </w:rPr>
            </w:pPr>
            <w:r w:rsidRPr="00A550CB">
              <w:rPr>
                <w:sz w:val="24"/>
              </w:rPr>
              <w:t>Test cantonal Novice : mise à disposition par la commission gymnastique.</w:t>
            </w:r>
          </w:p>
          <w:p w14:paraId="45817076" w14:textId="544589DF" w:rsidR="00A550CB" w:rsidRPr="000779ED" w:rsidRDefault="00A550CB" w:rsidP="00A550CB">
            <w:pPr>
              <w:jc w:val="both"/>
              <w:rPr>
                <w:sz w:val="24"/>
              </w:rPr>
            </w:pPr>
            <w:r w:rsidRPr="00A550CB">
              <w:rPr>
                <w:sz w:val="24"/>
              </w:rPr>
              <w:t>Tests fédéraux : à télécharger sur le site de la FSG.</w:t>
            </w:r>
          </w:p>
        </w:tc>
      </w:tr>
      <w:tr w:rsidR="00BF48E8" w:rsidRPr="000779ED" w14:paraId="7245C2CA" w14:textId="77777777" w:rsidTr="00F22513">
        <w:trPr>
          <w:jc w:val="center"/>
        </w:trPr>
        <w:tc>
          <w:tcPr>
            <w:tcW w:w="1701" w:type="dxa"/>
          </w:tcPr>
          <w:p w14:paraId="2F83EC25" w14:textId="77777777" w:rsidR="00BF48E8" w:rsidRPr="00053237" w:rsidRDefault="00BF48E8" w:rsidP="00F22513">
            <w:pPr>
              <w:rPr>
                <w:sz w:val="24"/>
              </w:rPr>
            </w:pPr>
            <w:r w:rsidRPr="00053237">
              <w:rPr>
                <w:sz w:val="24"/>
              </w:rPr>
              <w:t>Art. 3.3</w:t>
            </w:r>
          </w:p>
        </w:tc>
        <w:tc>
          <w:tcPr>
            <w:tcW w:w="7937" w:type="dxa"/>
          </w:tcPr>
          <w:p w14:paraId="6F3C2AE0" w14:textId="57DF1629" w:rsidR="00BF48E8" w:rsidRPr="00053237" w:rsidRDefault="00A550CB" w:rsidP="00BF48E8">
            <w:pPr>
              <w:jc w:val="both"/>
              <w:rPr>
                <w:sz w:val="24"/>
              </w:rPr>
            </w:pPr>
            <w:r>
              <w:rPr>
                <w:sz w:val="24"/>
              </w:rPr>
              <w:t>Les gymnastes se présentent avec leur propre engin.</w:t>
            </w:r>
          </w:p>
        </w:tc>
      </w:tr>
      <w:tr w:rsidR="00A550CB" w:rsidRPr="000779ED" w14:paraId="5B141B90" w14:textId="77777777" w:rsidTr="00F22513">
        <w:trPr>
          <w:jc w:val="center"/>
        </w:trPr>
        <w:tc>
          <w:tcPr>
            <w:tcW w:w="1701" w:type="dxa"/>
          </w:tcPr>
          <w:p w14:paraId="181F0E4D" w14:textId="687F1A9A" w:rsidR="00A550CB" w:rsidRPr="00053237" w:rsidRDefault="00A550CB" w:rsidP="00F22513">
            <w:pPr>
              <w:rPr>
                <w:sz w:val="24"/>
              </w:rPr>
            </w:pPr>
            <w:r>
              <w:rPr>
                <w:sz w:val="24"/>
              </w:rPr>
              <w:t>Art. 3.4</w:t>
            </w:r>
          </w:p>
        </w:tc>
        <w:tc>
          <w:tcPr>
            <w:tcW w:w="7937" w:type="dxa"/>
          </w:tcPr>
          <w:p w14:paraId="7A744F53" w14:textId="48D25DC4" w:rsidR="00A550CB" w:rsidRDefault="00A550CB" w:rsidP="00A550CB">
            <w:pPr>
              <w:jc w:val="both"/>
              <w:rPr>
                <w:sz w:val="24"/>
              </w:rPr>
            </w:pPr>
            <w:r w:rsidRPr="00A550CB">
              <w:rPr>
                <w:sz w:val="24"/>
              </w:rPr>
              <w:t xml:space="preserve">Tenue vestimentaire : Sont valables les directives </w:t>
            </w:r>
            <w:r w:rsidR="00237A56">
              <w:rPr>
                <w:sz w:val="24"/>
              </w:rPr>
              <w:t xml:space="preserve">de </w:t>
            </w:r>
            <w:r w:rsidRPr="00A550CB">
              <w:rPr>
                <w:sz w:val="24"/>
              </w:rPr>
              <w:t>gymnastique 2020</w:t>
            </w:r>
            <w:r>
              <w:rPr>
                <w:sz w:val="24"/>
              </w:rPr>
              <w:t>.</w:t>
            </w:r>
          </w:p>
        </w:tc>
      </w:tr>
    </w:tbl>
    <w:p w14:paraId="7A74284A" w14:textId="77777777" w:rsidR="004C43CE" w:rsidRDefault="004C43CE" w:rsidP="00A772BB">
      <w:pPr>
        <w:spacing w:after="0" w:line="240" w:lineRule="auto"/>
        <w:jc w:val="center"/>
        <w:rPr>
          <w:sz w:val="36"/>
        </w:rPr>
        <w:sectPr w:rsidR="004C43CE" w:rsidSect="00EF1D41"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514D21" w:rsidRPr="00E02F94" w14:paraId="40BC32A7" w14:textId="77777777" w:rsidTr="00F22513">
        <w:trPr>
          <w:jc w:val="center"/>
        </w:trPr>
        <w:tc>
          <w:tcPr>
            <w:tcW w:w="1701" w:type="dxa"/>
            <w:shd w:val="clear" w:color="auto" w:fill="E7E6E6" w:themeFill="background2"/>
          </w:tcPr>
          <w:p w14:paraId="74CDB1EB" w14:textId="77777777" w:rsidR="00514D21" w:rsidRPr="00E02F94" w:rsidRDefault="00514D21" w:rsidP="00F22513">
            <w:pPr>
              <w:rPr>
                <w:sz w:val="36"/>
              </w:rPr>
            </w:pPr>
            <w:r w:rsidRPr="00E02F94">
              <w:rPr>
                <w:sz w:val="36"/>
              </w:rPr>
              <w:lastRenderedPageBreak/>
              <w:t xml:space="preserve">Art. </w:t>
            </w:r>
            <w:r w:rsidR="00BF48E8">
              <w:rPr>
                <w:sz w:val="36"/>
              </w:rPr>
              <w:t>4</w:t>
            </w:r>
          </w:p>
        </w:tc>
        <w:tc>
          <w:tcPr>
            <w:tcW w:w="7937" w:type="dxa"/>
            <w:shd w:val="clear" w:color="auto" w:fill="E7E6E6" w:themeFill="background2"/>
          </w:tcPr>
          <w:p w14:paraId="122F6ED9" w14:textId="3B392C78" w:rsidR="00514D21" w:rsidRPr="00E02F94" w:rsidRDefault="00A550CB" w:rsidP="00F22513">
            <w:pPr>
              <w:jc w:val="center"/>
              <w:rPr>
                <w:sz w:val="36"/>
              </w:rPr>
            </w:pPr>
            <w:r>
              <w:rPr>
                <w:sz w:val="36"/>
              </w:rPr>
              <w:t>Inscriptions</w:t>
            </w:r>
          </w:p>
        </w:tc>
      </w:tr>
    </w:tbl>
    <w:p w14:paraId="0EF016E0" w14:textId="77777777" w:rsidR="00514D21" w:rsidRDefault="00514D21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514D21" w:rsidRPr="000779ED" w14:paraId="1AFC7C41" w14:textId="77777777" w:rsidTr="00F22513">
        <w:trPr>
          <w:jc w:val="center"/>
        </w:trPr>
        <w:tc>
          <w:tcPr>
            <w:tcW w:w="1701" w:type="dxa"/>
          </w:tcPr>
          <w:p w14:paraId="2BAA3990" w14:textId="77777777" w:rsidR="00514D21" w:rsidRPr="000779ED" w:rsidRDefault="00514D21" w:rsidP="00514D21">
            <w:pPr>
              <w:rPr>
                <w:sz w:val="24"/>
              </w:rPr>
            </w:pPr>
            <w:r>
              <w:rPr>
                <w:sz w:val="24"/>
              </w:rPr>
              <w:t xml:space="preserve">Art. </w:t>
            </w:r>
            <w:r w:rsidR="00BF48E8">
              <w:rPr>
                <w:sz w:val="24"/>
              </w:rPr>
              <w:t>4</w:t>
            </w:r>
            <w:r>
              <w:rPr>
                <w:sz w:val="24"/>
              </w:rPr>
              <w:t>.1</w:t>
            </w:r>
          </w:p>
        </w:tc>
        <w:tc>
          <w:tcPr>
            <w:tcW w:w="7937" w:type="dxa"/>
          </w:tcPr>
          <w:p w14:paraId="3C6F06E7" w14:textId="3F0CC262" w:rsidR="00A550CB" w:rsidRPr="00B818CB" w:rsidRDefault="00A550CB" w:rsidP="00A550CB">
            <w:pPr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sz w:val="24"/>
              </w:rPr>
              <w:t xml:space="preserve">Le délai d’inscription est fixé au </w:t>
            </w:r>
            <w:r w:rsidR="00B818CB">
              <w:rPr>
                <w:b/>
                <w:bCs/>
                <w:sz w:val="28"/>
                <w:szCs w:val="24"/>
              </w:rPr>
              <w:t>27 février 2025</w:t>
            </w:r>
          </w:p>
          <w:p w14:paraId="0BB78881" w14:textId="5964EDD2" w:rsidR="00514D21" w:rsidRPr="005550DF" w:rsidRDefault="00A550CB" w:rsidP="00514D21">
            <w:pPr>
              <w:jc w:val="both"/>
              <w:rPr>
                <w:sz w:val="24"/>
              </w:rPr>
            </w:pPr>
            <w:r>
              <w:rPr>
                <w:sz w:val="24"/>
              </w:rPr>
              <w:t>Les inscriptions sont à faire à l’aide du document joint aux présentes directives.</w:t>
            </w:r>
          </w:p>
        </w:tc>
      </w:tr>
      <w:tr w:rsidR="00514D21" w:rsidRPr="000779ED" w14:paraId="4CFA358A" w14:textId="77777777" w:rsidTr="00F22513">
        <w:trPr>
          <w:jc w:val="center"/>
        </w:trPr>
        <w:tc>
          <w:tcPr>
            <w:tcW w:w="1701" w:type="dxa"/>
          </w:tcPr>
          <w:p w14:paraId="633796B6" w14:textId="77777777" w:rsidR="00514D21" w:rsidRPr="000779ED" w:rsidRDefault="00514D21" w:rsidP="00514D21">
            <w:pPr>
              <w:rPr>
                <w:sz w:val="24"/>
              </w:rPr>
            </w:pPr>
            <w:r>
              <w:rPr>
                <w:sz w:val="24"/>
              </w:rPr>
              <w:t xml:space="preserve">Art. </w:t>
            </w:r>
            <w:r w:rsidR="00BF48E8">
              <w:rPr>
                <w:sz w:val="24"/>
              </w:rPr>
              <w:t>4</w:t>
            </w:r>
            <w:r>
              <w:rPr>
                <w:sz w:val="24"/>
              </w:rPr>
              <w:t>.2</w:t>
            </w:r>
          </w:p>
        </w:tc>
        <w:tc>
          <w:tcPr>
            <w:tcW w:w="7937" w:type="dxa"/>
          </w:tcPr>
          <w:p w14:paraId="669DC0CC" w14:textId="10BF8F86" w:rsidR="007A0E87" w:rsidRPr="00EE0693" w:rsidRDefault="00EE0693" w:rsidP="00514D21">
            <w:pPr>
              <w:jc w:val="both"/>
              <w:rPr>
                <w:b/>
                <w:sz w:val="24"/>
              </w:rPr>
            </w:pPr>
            <w:r w:rsidRPr="00EE0693">
              <w:rPr>
                <w:b/>
                <w:sz w:val="28"/>
              </w:rPr>
              <w:t>Afin de vérifier le passage des tests précédents, veuillez joindre les carnets de tests de chaque gymnaste avec les inscriptions.</w:t>
            </w:r>
            <w:r w:rsidR="001840C4">
              <w:rPr>
                <w:b/>
                <w:sz w:val="28"/>
              </w:rPr>
              <w:t xml:space="preserve"> Si l’envoi s’effectue par mail, merci de prendre contact avec la commission pour organiser la restitution des carnets.</w:t>
            </w:r>
          </w:p>
        </w:tc>
      </w:tr>
    </w:tbl>
    <w:p w14:paraId="30F54F2F" w14:textId="77777777" w:rsidR="00514D21" w:rsidRDefault="00514D21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BF48E8" w:rsidRPr="00E02F94" w14:paraId="4F7A935E" w14:textId="77777777" w:rsidTr="00F22513">
        <w:trPr>
          <w:jc w:val="center"/>
        </w:trPr>
        <w:tc>
          <w:tcPr>
            <w:tcW w:w="1701" w:type="dxa"/>
            <w:shd w:val="clear" w:color="auto" w:fill="E7E6E6" w:themeFill="background2"/>
          </w:tcPr>
          <w:p w14:paraId="4DEB7B4A" w14:textId="77777777" w:rsidR="00BF48E8" w:rsidRPr="00E02F94" w:rsidRDefault="00BF48E8" w:rsidP="00F22513">
            <w:pPr>
              <w:rPr>
                <w:sz w:val="36"/>
              </w:rPr>
            </w:pPr>
            <w:r w:rsidRPr="00E02F94">
              <w:rPr>
                <w:sz w:val="36"/>
              </w:rPr>
              <w:t xml:space="preserve">Art. </w:t>
            </w:r>
            <w:r>
              <w:rPr>
                <w:sz w:val="36"/>
              </w:rPr>
              <w:t>5</w:t>
            </w:r>
          </w:p>
        </w:tc>
        <w:tc>
          <w:tcPr>
            <w:tcW w:w="7937" w:type="dxa"/>
            <w:shd w:val="clear" w:color="auto" w:fill="E7E6E6" w:themeFill="background2"/>
          </w:tcPr>
          <w:p w14:paraId="5DE5AF15" w14:textId="4F42BB4F" w:rsidR="00BF48E8" w:rsidRPr="00E02F94" w:rsidRDefault="00B42B1D" w:rsidP="00F22513">
            <w:pPr>
              <w:jc w:val="center"/>
              <w:rPr>
                <w:sz w:val="36"/>
              </w:rPr>
            </w:pPr>
            <w:r>
              <w:rPr>
                <w:sz w:val="36"/>
              </w:rPr>
              <w:t>Dispositions finales</w:t>
            </w:r>
          </w:p>
        </w:tc>
      </w:tr>
    </w:tbl>
    <w:p w14:paraId="2C7455B7" w14:textId="77777777" w:rsidR="00BF48E8" w:rsidRDefault="00BF48E8" w:rsidP="00A772BB">
      <w:pPr>
        <w:spacing w:after="0" w:line="240" w:lineRule="auto"/>
        <w:jc w:val="center"/>
        <w:rPr>
          <w:sz w:val="36"/>
        </w:rPr>
      </w:pP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1701"/>
        <w:gridCol w:w="7937"/>
      </w:tblGrid>
      <w:tr w:rsidR="008B6583" w:rsidRPr="000779ED" w14:paraId="15B277AC" w14:textId="77777777" w:rsidTr="00F22513">
        <w:trPr>
          <w:jc w:val="center"/>
        </w:trPr>
        <w:tc>
          <w:tcPr>
            <w:tcW w:w="1701" w:type="dxa"/>
          </w:tcPr>
          <w:p w14:paraId="53316528" w14:textId="6AACD1ED" w:rsidR="008B6583" w:rsidRPr="000779ED" w:rsidRDefault="008B6583" w:rsidP="00F22513">
            <w:pPr>
              <w:rPr>
                <w:sz w:val="24"/>
              </w:rPr>
            </w:pPr>
            <w:r>
              <w:rPr>
                <w:sz w:val="24"/>
              </w:rPr>
              <w:t>Art. 5.</w:t>
            </w:r>
            <w:r w:rsidR="004C43CE"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2793C01B" w14:textId="77777777" w:rsidR="008B6583" w:rsidRDefault="00B42B1D" w:rsidP="00B42B1D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Résultats :</w:t>
            </w:r>
          </w:p>
          <w:p w14:paraId="6A3DA62B" w14:textId="77777777" w:rsidR="00B42B1D" w:rsidRPr="00B42B1D" w:rsidRDefault="00B42B1D" w:rsidP="00B42B1D">
            <w:pPr>
              <w:jc w:val="both"/>
              <w:rPr>
                <w:sz w:val="24"/>
              </w:rPr>
            </w:pPr>
            <w:r w:rsidRPr="00B42B1D">
              <w:rPr>
                <w:b/>
                <w:sz w:val="24"/>
              </w:rPr>
              <w:t>Jeunesse</w:t>
            </w:r>
            <w:r w:rsidRPr="00B42B1D">
              <w:rPr>
                <w:sz w:val="24"/>
              </w:rPr>
              <w:t> : Les trois premières gymnastes de chaque partie de test remportent un prix.</w:t>
            </w:r>
          </w:p>
          <w:p w14:paraId="5A1CC212" w14:textId="187D5582" w:rsidR="00B42B1D" w:rsidRPr="00B42B1D" w:rsidRDefault="00B42B1D" w:rsidP="00B42B1D">
            <w:pPr>
              <w:jc w:val="both"/>
              <w:rPr>
                <w:sz w:val="24"/>
              </w:rPr>
            </w:pPr>
            <w:r w:rsidRPr="00B42B1D">
              <w:rPr>
                <w:b/>
                <w:sz w:val="24"/>
              </w:rPr>
              <w:t>Actives</w:t>
            </w:r>
            <w:r w:rsidRPr="00B42B1D">
              <w:rPr>
                <w:sz w:val="24"/>
              </w:rPr>
              <w:t xml:space="preserve"> : Si </w:t>
            </w:r>
            <w:r w:rsidR="001840C4">
              <w:rPr>
                <w:sz w:val="24"/>
              </w:rPr>
              <w:t>2</w:t>
            </w:r>
            <w:r w:rsidRPr="00B42B1D">
              <w:rPr>
                <w:sz w:val="24"/>
              </w:rPr>
              <w:t xml:space="preserve"> gymnastes au moins passent la même partie de test, un prix sera remis</w:t>
            </w:r>
          </w:p>
          <w:p w14:paraId="79B35942" w14:textId="52F34B66" w:rsidR="00B42B1D" w:rsidRPr="00B42B1D" w:rsidRDefault="00B42B1D" w:rsidP="00B42B1D">
            <w:pPr>
              <w:jc w:val="both"/>
              <w:rPr>
                <w:sz w:val="24"/>
              </w:rPr>
            </w:pPr>
            <w:r w:rsidRPr="00B42B1D">
              <w:rPr>
                <w:sz w:val="24"/>
              </w:rPr>
              <w:t>En cas d</w:t>
            </w:r>
            <w:r w:rsidR="001840C4">
              <w:rPr>
                <w:sz w:val="24"/>
              </w:rPr>
              <w:t xml:space="preserve">’une seule participation par catégorie, une médaille sera remise si la note est supérieure à 8.50. Le cas échéant, la gymnaste (qui a </w:t>
            </w:r>
            <w:proofErr w:type="spellStart"/>
            <w:r w:rsidR="001840C4">
              <w:rPr>
                <w:sz w:val="24"/>
              </w:rPr>
              <w:t>réussit</w:t>
            </w:r>
            <w:proofErr w:type="spellEnd"/>
            <w:r w:rsidR="001840C4">
              <w:rPr>
                <w:sz w:val="24"/>
              </w:rPr>
              <w:t xml:space="preserve"> son test), sera nommée.</w:t>
            </w:r>
          </w:p>
          <w:p w14:paraId="707438CD" w14:textId="77777777" w:rsidR="00B42B1D" w:rsidRPr="00B42B1D" w:rsidRDefault="00B42B1D" w:rsidP="00B42B1D">
            <w:pPr>
              <w:jc w:val="both"/>
              <w:rPr>
                <w:sz w:val="24"/>
              </w:rPr>
            </w:pPr>
          </w:p>
          <w:p w14:paraId="61F52C54" w14:textId="63DFF125" w:rsidR="00B42B1D" w:rsidRPr="00514D21" w:rsidRDefault="00B42B1D" w:rsidP="00B42B1D">
            <w:pPr>
              <w:jc w:val="both"/>
              <w:rPr>
                <w:sz w:val="24"/>
              </w:rPr>
            </w:pPr>
            <w:r w:rsidRPr="00B42B1D">
              <w:rPr>
                <w:sz w:val="24"/>
              </w:rPr>
              <w:t>Les carnets de tests et les insignes sont transmis aux moniteurs à la fin de la manifestation.</w:t>
            </w:r>
            <w:r w:rsidR="001840C4">
              <w:rPr>
                <w:sz w:val="24"/>
              </w:rPr>
              <w:t xml:space="preserve"> Les moniteurs prennent l’initiative de venir chercher les carnets.</w:t>
            </w:r>
          </w:p>
        </w:tc>
      </w:tr>
      <w:tr w:rsidR="00B42B1D" w:rsidRPr="000779ED" w14:paraId="2A7AF0DB" w14:textId="77777777" w:rsidTr="00F22513">
        <w:trPr>
          <w:jc w:val="center"/>
        </w:trPr>
        <w:tc>
          <w:tcPr>
            <w:tcW w:w="1701" w:type="dxa"/>
          </w:tcPr>
          <w:p w14:paraId="54DD48F9" w14:textId="731D0D5F" w:rsidR="00B42B1D" w:rsidRDefault="00B42B1D" w:rsidP="00F22513">
            <w:pPr>
              <w:rPr>
                <w:sz w:val="24"/>
              </w:rPr>
            </w:pPr>
            <w:r>
              <w:rPr>
                <w:sz w:val="24"/>
              </w:rPr>
              <w:t>Art. 5.</w:t>
            </w:r>
            <w:r w:rsidR="004C43CE">
              <w:rPr>
                <w:sz w:val="24"/>
              </w:rPr>
              <w:t>2</w:t>
            </w:r>
          </w:p>
        </w:tc>
        <w:tc>
          <w:tcPr>
            <w:tcW w:w="7937" w:type="dxa"/>
          </w:tcPr>
          <w:p w14:paraId="592E0021" w14:textId="4387CE93" w:rsidR="00B42B1D" w:rsidRDefault="00B42B1D" w:rsidP="00B42B1D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Frais de participation</w:t>
            </w:r>
            <w:r w:rsidR="00EE0693">
              <w:rPr>
                <w:sz w:val="24"/>
              </w:rPr>
              <w:t> :</w:t>
            </w:r>
          </w:p>
          <w:p w14:paraId="0547F942" w14:textId="4963F96D" w:rsidR="00B42B1D" w:rsidRDefault="00B42B1D" w:rsidP="00EE0693">
            <w:pPr>
              <w:tabs>
                <w:tab w:val="left" w:pos="96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CHF 20.- </w:t>
            </w:r>
            <w:r w:rsidR="00EE0693">
              <w:rPr>
                <w:sz w:val="24"/>
              </w:rPr>
              <w:tab/>
            </w:r>
            <w:r>
              <w:rPr>
                <w:sz w:val="24"/>
              </w:rPr>
              <w:t>par gymnaste (finance de base)</w:t>
            </w:r>
          </w:p>
          <w:p w14:paraId="1B64A08B" w14:textId="0CEAD638" w:rsidR="00237A56" w:rsidRDefault="00237A56" w:rsidP="00EE0693">
            <w:pPr>
              <w:tabs>
                <w:tab w:val="left" w:pos="96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CHF 5.- </w:t>
            </w:r>
            <w:r>
              <w:rPr>
                <w:sz w:val="24"/>
              </w:rPr>
              <w:tab/>
              <w:t>par test supplémentaire</w:t>
            </w:r>
          </w:p>
          <w:p w14:paraId="4ABDC1D9" w14:textId="6CC26C02" w:rsidR="00B34F4B" w:rsidRDefault="00B34F4B" w:rsidP="00EE0693">
            <w:pPr>
              <w:tabs>
                <w:tab w:val="left" w:pos="964"/>
              </w:tabs>
              <w:jc w:val="both"/>
              <w:rPr>
                <w:sz w:val="24"/>
              </w:rPr>
            </w:pPr>
          </w:p>
          <w:p w14:paraId="79B6822F" w14:textId="6FBA34AC" w:rsidR="00B34F4B" w:rsidRDefault="00B34F4B" w:rsidP="00B34F4B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Post facturation : </w:t>
            </w:r>
          </w:p>
          <w:p w14:paraId="697EF417" w14:textId="0A59BEC1" w:rsidR="00B42B1D" w:rsidRDefault="00B42B1D" w:rsidP="00EE0693">
            <w:pPr>
              <w:tabs>
                <w:tab w:val="left" w:pos="96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CHF 5.- </w:t>
            </w:r>
            <w:r w:rsidR="00EE0693">
              <w:rPr>
                <w:sz w:val="24"/>
              </w:rPr>
              <w:tab/>
            </w:r>
            <w:r>
              <w:rPr>
                <w:sz w:val="24"/>
              </w:rPr>
              <w:t>par test réussi au complet</w:t>
            </w:r>
            <w:r w:rsidR="00B34F4B">
              <w:rPr>
                <w:sz w:val="24"/>
              </w:rPr>
              <w:t xml:space="preserve"> (insigne)</w:t>
            </w:r>
          </w:p>
          <w:p w14:paraId="66ACF249" w14:textId="5BA5C1E3" w:rsidR="00EE0693" w:rsidRDefault="00B42B1D" w:rsidP="00EE0693">
            <w:pPr>
              <w:tabs>
                <w:tab w:val="left" w:pos="964"/>
              </w:tabs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CHF 5.- </w:t>
            </w:r>
            <w:r w:rsidR="00EE0693">
              <w:rPr>
                <w:sz w:val="24"/>
              </w:rPr>
              <w:tab/>
            </w:r>
            <w:r>
              <w:rPr>
                <w:sz w:val="24"/>
              </w:rPr>
              <w:t>par carnet de test commandé</w:t>
            </w:r>
          </w:p>
          <w:p w14:paraId="48456D32" w14:textId="13D7C2F9" w:rsidR="00EE0693" w:rsidRDefault="00EE0693" w:rsidP="00B42B1D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Chaque société recevra une facture tenant compte des inscriptions, à régler avant le concours.</w:t>
            </w:r>
          </w:p>
        </w:tc>
      </w:tr>
      <w:tr w:rsidR="00EE0693" w:rsidRPr="000779ED" w14:paraId="17E66AF8" w14:textId="77777777" w:rsidTr="00F22513">
        <w:trPr>
          <w:jc w:val="center"/>
        </w:trPr>
        <w:tc>
          <w:tcPr>
            <w:tcW w:w="1701" w:type="dxa"/>
          </w:tcPr>
          <w:p w14:paraId="1403C22E" w14:textId="0377B786" w:rsidR="00EE0693" w:rsidRDefault="00EE0693" w:rsidP="00F22513">
            <w:pPr>
              <w:rPr>
                <w:sz w:val="24"/>
              </w:rPr>
            </w:pPr>
            <w:r>
              <w:rPr>
                <w:sz w:val="24"/>
              </w:rPr>
              <w:t>Art. 5.</w:t>
            </w:r>
            <w:r w:rsidR="004C43CE">
              <w:rPr>
                <w:sz w:val="24"/>
              </w:rPr>
              <w:t>3</w:t>
            </w:r>
          </w:p>
        </w:tc>
        <w:tc>
          <w:tcPr>
            <w:tcW w:w="7937" w:type="dxa"/>
          </w:tcPr>
          <w:p w14:paraId="6F3D25F7" w14:textId="60FB0944" w:rsidR="00EE0693" w:rsidRDefault="00EE0693" w:rsidP="00EE0693">
            <w:pPr>
              <w:jc w:val="both"/>
              <w:rPr>
                <w:sz w:val="24"/>
              </w:rPr>
            </w:pPr>
            <w:r>
              <w:rPr>
                <w:sz w:val="24"/>
              </w:rPr>
              <w:t>Le plan de travail et le programme général seront envoyés au plus tard 15 jours avant le concours et seront disponibles sur le site de l’ACNG.</w:t>
            </w:r>
          </w:p>
        </w:tc>
      </w:tr>
    </w:tbl>
    <w:p w14:paraId="7A801DAA" w14:textId="77777777" w:rsidR="00F44870" w:rsidRPr="00A772BB" w:rsidRDefault="00F44870" w:rsidP="00B42B1D">
      <w:pPr>
        <w:spacing w:after="0" w:line="240" w:lineRule="auto"/>
        <w:jc w:val="center"/>
        <w:rPr>
          <w:sz w:val="36"/>
        </w:rPr>
      </w:pPr>
    </w:p>
    <w:sectPr w:rsidR="00F44870" w:rsidRPr="00A772BB" w:rsidSect="00EF1D41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057DD" w14:textId="77777777" w:rsidR="00443EB8" w:rsidRDefault="00443EB8" w:rsidP="006E1E95">
      <w:pPr>
        <w:spacing w:after="0" w:line="240" w:lineRule="auto"/>
      </w:pPr>
      <w:r>
        <w:separator/>
      </w:r>
    </w:p>
  </w:endnote>
  <w:endnote w:type="continuationSeparator" w:id="0">
    <w:p w14:paraId="765480AC" w14:textId="77777777" w:rsidR="00443EB8" w:rsidRDefault="00443EB8" w:rsidP="006E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5CE13" w14:textId="77777777" w:rsidR="00443EB8" w:rsidRDefault="00443EB8" w:rsidP="006E1E95">
      <w:pPr>
        <w:spacing w:after="0" w:line="240" w:lineRule="auto"/>
      </w:pPr>
      <w:r>
        <w:separator/>
      </w:r>
    </w:p>
  </w:footnote>
  <w:footnote w:type="continuationSeparator" w:id="0">
    <w:p w14:paraId="10D9322E" w14:textId="77777777" w:rsidR="00443EB8" w:rsidRDefault="00443EB8" w:rsidP="006E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FE47" w14:textId="77777777" w:rsidR="00EF1D41" w:rsidRDefault="00EF1D4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532128" wp14:editId="612BA9AF">
          <wp:simplePos x="0" y="0"/>
          <wp:positionH relativeFrom="page">
            <wp:posOffset>323107</wp:posOffset>
          </wp:positionH>
          <wp:positionV relativeFrom="page">
            <wp:posOffset>11430</wp:posOffset>
          </wp:positionV>
          <wp:extent cx="4323600" cy="1429200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600" cy="14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CD62" w14:textId="77777777" w:rsidR="00EF1D41" w:rsidRDefault="00EF1D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30719"/>
    <w:multiLevelType w:val="hybridMultilevel"/>
    <w:tmpl w:val="FED4A930"/>
    <w:lvl w:ilvl="0" w:tplc="870685D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261C6"/>
    <w:multiLevelType w:val="hybridMultilevel"/>
    <w:tmpl w:val="4AD07B0A"/>
    <w:lvl w:ilvl="0" w:tplc="98ACA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C67D9"/>
    <w:multiLevelType w:val="hybridMultilevel"/>
    <w:tmpl w:val="B74ED97A"/>
    <w:lvl w:ilvl="0" w:tplc="870685D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99526">
    <w:abstractNumId w:val="2"/>
  </w:num>
  <w:num w:numId="2" w16cid:durableId="387611195">
    <w:abstractNumId w:val="0"/>
  </w:num>
  <w:num w:numId="3" w16cid:durableId="71115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95"/>
    <w:rsid w:val="00016268"/>
    <w:rsid w:val="00032E5D"/>
    <w:rsid w:val="00053237"/>
    <w:rsid w:val="000551E1"/>
    <w:rsid w:val="000779ED"/>
    <w:rsid w:val="000F03CD"/>
    <w:rsid w:val="001840C4"/>
    <w:rsid w:val="001A6AE0"/>
    <w:rsid w:val="00237A56"/>
    <w:rsid w:val="00271B16"/>
    <w:rsid w:val="002C18A1"/>
    <w:rsid w:val="00315DD7"/>
    <w:rsid w:val="0033316B"/>
    <w:rsid w:val="00346C69"/>
    <w:rsid w:val="003A1700"/>
    <w:rsid w:val="00440CA7"/>
    <w:rsid w:val="00443EB8"/>
    <w:rsid w:val="00460E92"/>
    <w:rsid w:val="004A130E"/>
    <w:rsid w:val="004C43CE"/>
    <w:rsid w:val="004D13BE"/>
    <w:rsid w:val="00514D21"/>
    <w:rsid w:val="00522D9F"/>
    <w:rsid w:val="0053616E"/>
    <w:rsid w:val="005550DF"/>
    <w:rsid w:val="00556DCF"/>
    <w:rsid w:val="005C4DB3"/>
    <w:rsid w:val="005C63BD"/>
    <w:rsid w:val="005D2B9B"/>
    <w:rsid w:val="006248B1"/>
    <w:rsid w:val="00665964"/>
    <w:rsid w:val="006E1E95"/>
    <w:rsid w:val="00706A16"/>
    <w:rsid w:val="00730DF1"/>
    <w:rsid w:val="007A0E87"/>
    <w:rsid w:val="007A33E2"/>
    <w:rsid w:val="007B11EC"/>
    <w:rsid w:val="007D600E"/>
    <w:rsid w:val="008B6583"/>
    <w:rsid w:val="00900FCE"/>
    <w:rsid w:val="009444E4"/>
    <w:rsid w:val="009658AF"/>
    <w:rsid w:val="0098149D"/>
    <w:rsid w:val="00983786"/>
    <w:rsid w:val="009B17AA"/>
    <w:rsid w:val="00A36696"/>
    <w:rsid w:val="00A550CB"/>
    <w:rsid w:val="00A62883"/>
    <w:rsid w:val="00A772BB"/>
    <w:rsid w:val="00A95DED"/>
    <w:rsid w:val="00AE45FD"/>
    <w:rsid w:val="00B2539D"/>
    <w:rsid w:val="00B34F4B"/>
    <w:rsid w:val="00B42B1D"/>
    <w:rsid w:val="00B806FF"/>
    <w:rsid w:val="00B818CB"/>
    <w:rsid w:val="00BF2332"/>
    <w:rsid w:val="00BF350F"/>
    <w:rsid w:val="00BF48E8"/>
    <w:rsid w:val="00BF49DB"/>
    <w:rsid w:val="00C17AE0"/>
    <w:rsid w:val="00C4626D"/>
    <w:rsid w:val="00CA4083"/>
    <w:rsid w:val="00CC3B69"/>
    <w:rsid w:val="00CE281A"/>
    <w:rsid w:val="00DA047F"/>
    <w:rsid w:val="00E02F94"/>
    <w:rsid w:val="00E27D69"/>
    <w:rsid w:val="00E32A4E"/>
    <w:rsid w:val="00E61F2B"/>
    <w:rsid w:val="00EE0693"/>
    <w:rsid w:val="00EF1D41"/>
    <w:rsid w:val="00F44870"/>
    <w:rsid w:val="00F46D9D"/>
    <w:rsid w:val="00FA5D52"/>
    <w:rsid w:val="00FB3BC1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C1134"/>
  <w15:chartTrackingRefBased/>
  <w15:docId w15:val="{70C8A197-8B0A-4AB4-97BD-D4EF47FC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E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E95"/>
  </w:style>
  <w:style w:type="paragraph" w:styleId="Pieddepage">
    <w:name w:val="footer"/>
    <w:basedOn w:val="Normal"/>
    <w:link w:val="PieddepageCar"/>
    <w:uiPriority w:val="99"/>
    <w:unhideWhenUsed/>
    <w:rsid w:val="006E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E95"/>
  </w:style>
  <w:style w:type="table" w:styleId="Grilledutableau">
    <w:name w:val="Table Grid"/>
    <w:basedOn w:val="TableauNormal"/>
    <w:uiPriority w:val="39"/>
    <w:rsid w:val="006E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779ED"/>
    <w:pPr>
      <w:ind w:left="720"/>
      <w:contextualSpacing/>
    </w:pPr>
  </w:style>
  <w:style w:type="character" w:styleId="Lienhypertexte">
    <w:name w:val="Hyperlink"/>
    <w:rsid w:val="00346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Correia Fernandes Alessia (ACF)</dc:creator>
  <cp:keywords/>
  <dc:description/>
  <cp:lastModifiedBy>Technique ACNG</cp:lastModifiedBy>
  <cp:revision>2</cp:revision>
  <dcterms:created xsi:type="dcterms:W3CDTF">2025-01-13T07:54:00Z</dcterms:created>
  <dcterms:modified xsi:type="dcterms:W3CDTF">2025-01-13T07:54:00Z</dcterms:modified>
</cp:coreProperties>
</file>